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84AAAC" w14:textId="06D453E1" w:rsidR="002F6FD0" w:rsidRDefault="002F7D39" w:rsidP="002F6FD0">
      <w:pPr>
        <w:rPr>
          <w:rFonts w:ascii="Times New Roman" w:eastAsia="Times New Roman" w:hAnsi="Times New Roman" w:cs="Times New Roman"/>
        </w:rPr>
      </w:pPr>
      <w:r w:rsidRPr="002F7D39">
        <w:rPr>
          <w:rFonts w:ascii="Times New Roman" w:eastAsia="Times New Roman" w:hAnsi="Times New Roman" w:cs="Times New Roman"/>
          <w:noProof/>
        </w:rPr>
        <w:drawing>
          <wp:inline distT="0" distB="0" distL="0" distR="0" wp14:anchorId="541D1943" wp14:editId="349004AC">
            <wp:extent cx="5943600" cy="3931920"/>
            <wp:effectExtent l="0" t="0" r="0" b="5080"/>
            <wp:docPr id="1025" name="Picture 5" descr="page3image73380864">
              <a:extLst xmlns:a="http://schemas.openxmlformats.org/drawingml/2006/main">
                <a:ext uri="{FF2B5EF4-FFF2-40B4-BE49-F238E27FC236}">
                  <a16:creationId xmlns:a16="http://schemas.microsoft.com/office/drawing/2014/main" id="{E323AEAA-2A2F-220E-33CF-D3EB157266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5" descr="page3image73380864">
                      <a:extLst>
                        <a:ext uri="{FF2B5EF4-FFF2-40B4-BE49-F238E27FC236}">
                          <a16:creationId xmlns:a16="http://schemas.microsoft.com/office/drawing/2014/main" id="{E323AEAA-2A2F-220E-33CF-D3EB157266DF}"/>
                        </a:ext>
                      </a:extLst>
                    </pic:cNvPr>
                    <pic:cNvPicPr>
                      <a:picLocks noChangeAspect="1" noChangeArrowheads="1"/>
                    </pic:cNvPicPr>
                  </pic:nvPicPr>
                  <pic:blipFill rotWithShape="1">
                    <a:blip r:embed="rId4" r:link="rId5" cstate="print">
                      <a:extLst>
                        <a:ext uri="{28A0092B-C50C-407E-A947-70E740481C1C}">
                          <a14:useLocalDpi xmlns:a14="http://schemas.microsoft.com/office/drawing/2010/main" val="0"/>
                        </a:ext>
                      </a:extLst>
                    </a:blip>
                    <a:srcRect l="24767" t="6987" b="1310"/>
                    <a:stretch>
                      <a:fillRect/>
                    </a:stretch>
                  </pic:blipFill>
                  <pic:spPr bwMode="auto">
                    <a:xfrm>
                      <a:off x="0" y="0"/>
                      <a:ext cx="5943600" cy="3931920"/>
                    </a:xfrm>
                    <a:prstGeom prst="rect">
                      <a:avLst/>
                    </a:prstGeom>
                    <a:noFill/>
                  </pic:spPr>
                </pic:pic>
              </a:graphicData>
            </a:graphic>
          </wp:inline>
        </w:drawing>
      </w:r>
    </w:p>
    <w:p w14:paraId="1AA2936A" w14:textId="3C4F4481" w:rsidR="002F7D39" w:rsidRDefault="002F7D39" w:rsidP="002F6FD0">
      <w:pPr>
        <w:rPr>
          <w:rFonts w:ascii="Times New Roman" w:eastAsia="Times New Roman" w:hAnsi="Times New Roman" w:cs="Times New Roman"/>
        </w:rPr>
      </w:pPr>
    </w:p>
    <w:p w14:paraId="662F769E" w14:textId="63DB8BB1" w:rsidR="002F7D39" w:rsidRDefault="002F7D39" w:rsidP="002F7D39">
      <w:pPr>
        <w:pStyle w:val="NormalWeb"/>
        <w:jc w:val="both"/>
        <w:rPr>
          <w:rFonts w:ascii="Arial" w:hAnsi="Arial" w:cs="Arial"/>
          <w:sz w:val="22"/>
          <w:szCs w:val="22"/>
        </w:rPr>
      </w:pPr>
      <w:r w:rsidRPr="002F7D39">
        <w:rPr>
          <w:rFonts w:ascii="Arial" w:hAnsi="Arial" w:cs="Arial"/>
          <w:sz w:val="22"/>
          <w:szCs w:val="22"/>
        </w:rPr>
        <w:t xml:space="preserve">Fig S1. Real-time sample QC using Skyline. Following data acquisition, targeted extraction of yeast ADH1 peptides (a surrogate standard spiked into the reconstitution buffer) was performed in Skyline to monitor system performance and flag potential outliers. </w:t>
      </w:r>
      <w:r>
        <w:rPr>
          <w:rFonts w:ascii="Arial" w:hAnsi="Arial" w:cs="Arial"/>
          <w:sz w:val="22"/>
          <w:szCs w:val="22"/>
        </w:rPr>
        <w:t xml:space="preserve">Shown are peak areas, intensity and retention time, and mass accuracy; inspected by total ion current (TIC). </w:t>
      </w:r>
    </w:p>
    <w:p w14:paraId="788AEE0C" w14:textId="04DB4005" w:rsidR="002F7D39" w:rsidRDefault="002F7D39" w:rsidP="002F7D39">
      <w:pPr>
        <w:pStyle w:val="NormalWeb"/>
        <w:jc w:val="both"/>
        <w:rPr>
          <w:rFonts w:ascii="Arial" w:hAnsi="Arial" w:cs="Arial"/>
          <w:sz w:val="22"/>
          <w:szCs w:val="22"/>
        </w:rPr>
      </w:pPr>
    </w:p>
    <w:p w14:paraId="0364A076" w14:textId="6CDE9245" w:rsidR="002F7D39" w:rsidRPr="002F7D39" w:rsidRDefault="002F7D39" w:rsidP="002F7D39">
      <w:pPr>
        <w:pStyle w:val="NormalWeb"/>
        <w:jc w:val="both"/>
      </w:pPr>
      <w:r w:rsidRPr="002F7D39">
        <w:rPr>
          <w:noProof/>
        </w:rPr>
        <w:lastRenderedPageBreak/>
        <w:drawing>
          <wp:inline distT="0" distB="0" distL="0" distR="0" wp14:anchorId="1EE248C9" wp14:editId="2CD5395F">
            <wp:extent cx="5943600" cy="2924175"/>
            <wp:effectExtent l="0" t="0" r="0" b="0"/>
            <wp:docPr id="2049" name="Picture 1" descr="page4image73380656">
              <a:extLst xmlns:a="http://schemas.openxmlformats.org/drawingml/2006/main">
                <a:ext uri="{FF2B5EF4-FFF2-40B4-BE49-F238E27FC236}">
                  <a16:creationId xmlns:a16="http://schemas.microsoft.com/office/drawing/2014/main" id="{6A82FF5B-6E38-C2AE-D337-BA8EA9D050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page4image73380656">
                      <a:extLst>
                        <a:ext uri="{FF2B5EF4-FFF2-40B4-BE49-F238E27FC236}">
                          <a16:creationId xmlns:a16="http://schemas.microsoft.com/office/drawing/2014/main" id="{6A82FF5B-6E38-C2AE-D337-BA8EA9D0508C}"/>
                        </a:ext>
                      </a:extLst>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pic:spPr>
                </pic:pic>
              </a:graphicData>
            </a:graphic>
          </wp:inline>
        </w:drawing>
      </w:r>
    </w:p>
    <w:p w14:paraId="74719AA4" w14:textId="4337F494" w:rsidR="004905B9" w:rsidRDefault="002F7D39" w:rsidP="004905B9">
      <w:pPr>
        <w:pStyle w:val="NormalWeb"/>
        <w:jc w:val="both"/>
      </w:pPr>
      <w:r w:rsidRPr="004905B9">
        <w:rPr>
          <w:rFonts w:ascii="Arial" w:hAnsi="Arial" w:cs="Arial"/>
          <w:sz w:val="22"/>
          <w:szCs w:val="22"/>
        </w:rPr>
        <w:t>Fig</w:t>
      </w:r>
      <w:r w:rsidR="004905B9" w:rsidRPr="004905B9">
        <w:rPr>
          <w:rFonts w:ascii="Arial" w:hAnsi="Arial" w:cs="Arial"/>
          <w:sz w:val="22"/>
          <w:szCs w:val="22"/>
        </w:rPr>
        <w:t xml:space="preserve"> S2</w:t>
      </w:r>
      <w:r w:rsidRPr="004905B9">
        <w:rPr>
          <w:rFonts w:ascii="Arial" w:hAnsi="Arial" w:cs="Arial"/>
          <w:sz w:val="22"/>
          <w:szCs w:val="22"/>
        </w:rPr>
        <w:t xml:space="preserve">. Comparison of un-normalized and normalized data. Box plots of log2 protein intensities were visualized in Spectronaut for (A) </w:t>
      </w:r>
      <w:r w:rsidR="004905B9">
        <w:rPr>
          <w:rFonts w:ascii="Arial" w:hAnsi="Arial" w:cs="Arial"/>
          <w:sz w:val="22"/>
          <w:szCs w:val="22"/>
        </w:rPr>
        <w:t xml:space="preserve">un-normalized </w:t>
      </w:r>
      <w:r w:rsidRPr="004905B9">
        <w:rPr>
          <w:rFonts w:ascii="Arial" w:hAnsi="Arial" w:cs="Arial"/>
          <w:sz w:val="22"/>
          <w:szCs w:val="22"/>
        </w:rPr>
        <w:t xml:space="preserve">raw data and (B) </w:t>
      </w:r>
      <w:r w:rsidR="004905B9">
        <w:rPr>
          <w:rFonts w:ascii="Arial" w:hAnsi="Arial" w:cs="Arial"/>
          <w:sz w:val="22"/>
          <w:szCs w:val="22"/>
        </w:rPr>
        <w:t xml:space="preserve">normalized data </w:t>
      </w:r>
      <w:r w:rsidRPr="004905B9">
        <w:rPr>
          <w:rFonts w:ascii="Arial" w:hAnsi="Arial" w:cs="Arial"/>
          <w:sz w:val="22"/>
          <w:szCs w:val="22"/>
        </w:rPr>
        <w:t xml:space="preserve">after median normalization to the precursors that had a q-value of &lt;0.01 all runs. Data was ordered based on sample group and run order. </w:t>
      </w:r>
      <w:r w:rsidR="004905B9">
        <w:rPr>
          <w:rFonts w:ascii="Arial" w:hAnsi="Arial" w:cs="Arial"/>
          <w:sz w:val="22"/>
          <w:szCs w:val="22"/>
        </w:rPr>
        <w:t xml:space="preserve">In the un-normalized data, SPQC samples had, as expected, similar abundances. Data was normalized to the median of precursors that met a q&lt;0.01 in all runs. This appeared to mostly correct for sample-to-sample variability in precursors abundance. </w:t>
      </w:r>
    </w:p>
    <w:p w14:paraId="7EC529B9" w14:textId="4546761F" w:rsidR="002F7D39" w:rsidRPr="004905B9" w:rsidRDefault="002F7D39" w:rsidP="004905B9">
      <w:pPr>
        <w:pStyle w:val="NormalWeb"/>
        <w:spacing w:line="276" w:lineRule="auto"/>
        <w:rPr>
          <w:rFonts w:ascii="Arial" w:hAnsi="Arial" w:cs="Arial"/>
          <w:sz w:val="22"/>
          <w:szCs w:val="22"/>
        </w:rPr>
      </w:pPr>
    </w:p>
    <w:p w14:paraId="205D4FFA" w14:textId="36D1E491" w:rsidR="002F7D39" w:rsidRDefault="002F7D39" w:rsidP="002F7D39">
      <w:pPr>
        <w:pStyle w:val="NormalWeb"/>
        <w:spacing w:line="276" w:lineRule="auto"/>
        <w:jc w:val="both"/>
        <w:rPr>
          <w:rFonts w:ascii="Arial" w:hAnsi="Arial" w:cs="Arial"/>
        </w:rPr>
      </w:pPr>
    </w:p>
    <w:p w14:paraId="2D3A51BD" w14:textId="4DAD0FBC" w:rsidR="002F7D39" w:rsidRDefault="002F7D39" w:rsidP="002F7D39">
      <w:pPr>
        <w:pStyle w:val="NormalWeb"/>
        <w:spacing w:line="276" w:lineRule="auto"/>
        <w:jc w:val="both"/>
        <w:rPr>
          <w:rFonts w:ascii="Arial" w:hAnsi="Arial" w:cs="Arial"/>
        </w:rPr>
      </w:pPr>
      <w:r w:rsidRPr="002F7D39">
        <w:rPr>
          <w:rFonts w:ascii="Arial" w:hAnsi="Arial" w:cs="Arial"/>
          <w:noProof/>
        </w:rPr>
        <w:lastRenderedPageBreak/>
        <w:drawing>
          <wp:inline distT="0" distB="0" distL="0" distR="0" wp14:anchorId="595E239C" wp14:editId="0B88FCE7">
            <wp:extent cx="5374738" cy="4810539"/>
            <wp:effectExtent l="0" t="0" r="0" b="3175"/>
            <wp:docPr id="4097" name="Picture 1" descr="page4image72427056">
              <a:extLst xmlns:a="http://schemas.openxmlformats.org/drawingml/2006/main">
                <a:ext uri="{FF2B5EF4-FFF2-40B4-BE49-F238E27FC236}">
                  <a16:creationId xmlns:a16="http://schemas.microsoft.com/office/drawing/2014/main" id="{DFFBC2E6-0082-AF02-6E6F-6D48E420A1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 name="Picture 1" descr="page4image72427056">
                      <a:extLst>
                        <a:ext uri="{FF2B5EF4-FFF2-40B4-BE49-F238E27FC236}">
                          <a16:creationId xmlns:a16="http://schemas.microsoft.com/office/drawing/2014/main" id="{DFFBC2E6-0082-AF02-6E6F-6D48E420A109}"/>
                        </a:ext>
                      </a:extLs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74738" cy="481053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4B8CA77" w14:textId="54AEA7B5" w:rsidR="004905B9" w:rsidRDefault="004905B9" w:rsidP="004905B9">
      <w:pPr>
        <w:pStyle w:val="NormalWeb"/>
        <w:spacing w:line="276" w:lineRule="auto"/>
        <w:jc w:val="both"/>
        <w:rPr>
          <w:rFonts w:ascii="Arial" w:hAnsi="Arial" w:cs="Arial"/>
          <w:sz w:val="22"/>
          <w:szCs w:val="22"/>
        </w:rPr>
      </w:pPr>
      <w:r w:rsidRPr="004905B9">
        <w:rPr>
          <w:rFonts w:ascii="Arial" w:hAnsi="Arial" w:cs="Arial"/>
          <w:sz w:val="22"/>
          <w:szCs w:val="22"/>
        </w:rPr>
        <w:t>Fig S3. CV distributions for SPQC and individual groups. Coefficients of variation were visualized in Spectronaut as (A) Protein group CV densities and (B) boxplots for the individuals versus SPQC groups (SPQC = prep replicates; SPQC2 = technical replicates). The median protein group %CV of SPQC samples was 13.2% and SPQC was 10.4%, compared to the median %CV of 120% for individual samples. These data suggest that the overall technical variability of the assay was much lower than the biological variability.</w:t>
      </w:r>
    </w:p>
    <w:p w14:paraId="4B64B1B4" w14:textId="02D33FE2" w:rsidR="004905B9" w:rsidRPr="004905B9" w:rsidRDefault="004905B9" w:rsidP="004905B9">
      <w:pPr>
        <w:pStyle w:val="NormalWeb"/>
        <w:spacing w:line="276" w:lineRule="auto"/>
        <w:jc w:val="both"/>
        <w:rPr>
          <w:rFonts w:ascii="Arial" w:hAnsi="Arial" w:cs="Arial"/>
          <w:sz w:val="22"/>
          <w:szCs w:val="22"/>
        </w:rPr>
      </w:pPr>
      <w:r w:rsidRPr="004905B9">
        <w:rPr>
          <w:rFonts w:ascii="Arial" w:hAnsi="Arial" w:cs="Arial"/>
          <w:noProof/>
          <w:sz w:val="22"/>
          <w:szCs w:val="22"/>
        </w:rPr>
        <w:lastRenderedPageBreak/>
        <w:drawing>
          <wp:inline distT="0" distB="0" distL="0" distR="0" wp14:anchorId="7D468582" wp14:editId="02F68F66">
            <wp:extent cx="5943600" cy="3150870"/>
            <wp:effectExtent l="0" t="0" r="0" b="0"/>
            <wp:docPr id="5121" name="Picture 1" descr="page5image73582208">
              <a:extLst xmlns:a="http://schemas.openxmlformats.org/drawingml/2006/main">
                <a:ext uri="{FF2B5EF4-FFF2-40B4-BE49-F238E27FC236}">
                  <a16:creationId xmlns:a16="http://schemas.microsoft.com/office/drawing/2014/main" id="{6C8D710E-5106-D7B0-16DE-C98ACC4F8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Picture 1" descr="page5image73582208">
                      <a:extLst>
                        <a:ext uri="{FF2B5EF4-FFF2-40B4-BE49-F238E27FC236}">
                          <a16:creationId xmlns:a16="http://schemas.microsoft.com/office/drawing/2014/main" id="{6C8D710E-5106-D7B0-16DE-C98ACC4F87A2}"/>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150870"/>
                    </a:xfrm>
                    <a:prstGeom prst="rect">
                      <a:avLst/>
                    </a:prstGeom>
                    <a:noFill/>
                  </pic:spPr>
                </pic:pic>
              </a:graphicData>
            </a:graphic>
          </wp:inline>
        </w:drawing>
      </w:r>
    </w:p>
    <w:p w14:paraId="7D71C243" w14:textId="7D865E5F" w:rsidR="004905B9" w:rsidRDefault="004905B9" w:rsidP="004905B9">
      <w:pPr>
        <w:pStyle w:val="NormalWeb"/>
        <w:spacing w:line="276" w:lineRule="auto"/>
        <w:jc w:val="both"/>
      </w:pPr>
      <w:r w:rsidRPr="004905B9">
        <w:rPr>
          <w:rFonts w:ascii="Arial" w:hAnsi="Arial" w:cs="Arial"/>
          <w:sz w:val="22"/>
          <w:szCs w:val="22"/>
        </w:rPr>
        <w:t>Fig</w:t>
      </w:r>
      <w:r>
        <w:rPr>
          <w:rFonts w:ascii="Arial" w:hAnsi="Arial" w:cs="Arial"/>
          <w:sz w:val="22"/>
          <w:szCs w:val="22"/>
        </w:rPr>
        <w:t xml:space="preserve"> S4</w:t>
      </w:r>
      <w:r w:rsidRPr="004905B9">
        <w:rPr>
          <w:rFonts w:ascii="Arial" w:hAnsi="Arial" w:cs="Arial"/>
          <w:sz w:val="22"/>
          <w:szCs w:val="22"/>
        </w:rPr>
        <w:t xml:space="preserve">. Heatmap of protein group expression. Hierarchical clustering was performed in Spectronaut on z- scored protein group data using Euclidian distance and Ward’s method. </w:t>
      </w:r>
      <w:r>
        <w:rPr>
          <w:rFonts w:ascii="Arial" w:hAnsi="Arial" w:cs="Arial"/>
          <w:sz w:val="22"/>
          <w:szCs w:val="22"/>
        </w:rPr>
        <w:t>As expected, the SPQC samples also tightly clustered.</w:t>
      </w:r>
    </w:p>
    <w:p w14:paraId="5C548527" w14:textId="10369062" w:rsidR="004905B9" w:rsidRPr="004905B9" w:rsidRDefault="004905B9" w:rsidP="004905B9">
      <w:pPr>
        <w:pStyle w:val="NormalWeb"/>
        <w:spacing w:line="276" w:lineRule="auto"/>
        <w:jc w:val="both"/>
        <w:rPr>
          <w:rFonts w:ascii="Arial" w:hAnsi="Arial" w:cs="Arial"/>
          <w:sz w:val="22"/>
          <w:szCs w:val="22"/>
        </w:rPr>
      </w:pPr>
    </w:p>
    <w:p w14:paraId="47A0200F" w14:textId="31850CD3" w:rsidR="004905B9" w:rsidRPr="004905B9" w:rsidRDefault="004905B9" w:rsidP="004905B9">
      <w:pPr>
        <w:pStyle w:val="NormalWeb"/>
        <w:spacing w:line="276" w:lineRule="auto"/>
        <w:jc w:val="both"/>
        <w:rPr>
          <w:rFonts w:ascii="Arial" w:hAnsi="Arial" w:cs="Arial"/>
        </w:rPr>
      </w:pPr>
    </w:p>
    <w:p w14:paraId="1DDE9758" w14:textId="77777777" w:rsidR="002F7D39" w:rsidRPr="002F7D39" w:rsidRDefault="002F7D39" w:rsidP="002F7D39">
      <w:pPr>
        <w:pStyle w:val="NormalWeb"/>
        <w:spacing w:line="276" w:lineRule="auto"/>
        <w:jc w:val="both"/>
        <w:rPr>
          <w:rFonts w:ascii="Arial" w:hAnsi="Arial" w:cs="Arial"/>
        </w:rPr>
      </w:pPr>
    </w:p>
    <w:p w14:paraId="60D18132" w14:textId="77777777" w:rsidR="002F7D39" w:rsidRPr="002F7D39" w:rsidRDefault="002F7D39" w:rsidP="002F7D39">
      <w:pPr>
        <w:pStyle w:val="NormalWeb"/>
        <w:spacing w:line="276" w:lineRule="auto"/>
        <w:jc w:val="both"/>
        <w:rPr>
          <w:rFonts w:ascii="Arial" w:hAnsi="Arial" w:cs="Arial"/>
          <w:sz w:val="22"/>
          <w:szCs w:val="22"/>
        </w:rPr>
      </w:pPr>
    </w:p>
    <w:p w14:paraId="4803E46D" w14:textId="466C8737" w:rsidR="002F7D39" w:rsidRPr="002F6FD0" w:rsidRDefault="002F7D39" w:rsidP="002F6FD0">
      <w:pPr>
        <w:rPr>
          <w:rFonts w:ascii="Times New Roman" w:eastAsia="Times New Roman" w:hAnsi="Times New Roman" w:cs="Times New Roman"/>
        </w:rPr>
      </w:pPr>
    </w:p>
    <w:p w14:paraId="51AA5A0C" w14:textId="77777777" w:rsidR="002F6FD0" w:rsidRDefault="002F6FD0" w:rsidP="00F15286">
      <w:pPr>
        <w:tabs>
          <w:tab w:val="left" w:pos="1890"/>
        </w:tabs>
        <w:rPr>
          <w:rFonts w:ascii="Arial" w:hAnsi="Arial" w:cs="Arial"/>
          <w:sz w:val="22"/>
          <w:szCs w:val="22"/>
        </w:rPr>
      </w:pPr>
    </w:p>
    <w:p w14:paraId="24321A3A" w14:textId="77777777" w:rsidR="002F6FD0" w:rsidRDefault="002F6FD0" w:rsidP="00F15286">
      <w:pPr>
        <w:tabs>
          <w:tab w:val="left" w:pos="1890"/>
        </w:tabs>
        <w:rPr>
          <w:rFonts w:ascii="Arial" w:hAnsi="Arial" w:cs="Arial"/>
          <w:sz w:val="22"/>
          <w:szCs w:val="22"/>
        </w:rPr>
      </w:pPr>
    </w:p>
    <w:p w14:paraId="72E7A9BC" w14:textId="77777777" w:rsidR="002F6FD0" w:rsidRDefault="002F6FD0" w:rsidP="00F15286">
      <w:pPr>
        <w:tabs>
          <w:tab w:val="left" w:pos="1890"/>
        </w:tabs>
        <w:rPr>
          <w:rFonts w:ascii="Arial" w:hAnsi="Arial" w:cs="Arial"/>
          <w:sz w:val="22"/>
          <w:szCs w:val="22"/>
        </w:rPr>
      </w:pPr>
    </w:p>
    <w:p w14:paraId="19DF4166" w14:textId="3124FC16" w:rsidR="009877B4" w:rsidRPr="009877B4" w:rsidRDefault="00C35549" w:rsidP="00F15286">
      <w:pPr>
        <w:tabs>
          <w:tab w:val="left" w:pos="1890"/>
        </w:tabs>
        <w:rPr>
          <w:rFonts w:ascii="Arial" w:hAnsi="Arial" w:cs="Arial"/>
          <w:sz w:val="22"/>
          <w:szCs w:val="22"/>
        </w:rPr>
      </w:pPr>
      <w:r>
        <w:rPr>
          <w:rFonts w:ascii="Arial" w:hAnsi="Arial" w:cs="Arial"/>
          <w:sz w:val="22"/>
          <w:szCs w:val="22"/>
        </w:rPr>
        <w:lastRenderedPageBreak/>
        <w:t xml:space="preserve">                              </w:t>
      </w:r>
      <w:r w:rsidR="009877B4" w:rsidRPr="009877B4">
        <w:rPr>
          <w:rFonts w:ascii="Arial" w:hAnsi="Arial" w:cs="Arial"/>
          <w:noProof/>
          <w:sz w:val="22"/>
          <w:szCs w:val="22"/>
        </w:rPr>
        <w:drawing>
          <wp:inline distT="0" distB="0" distL="0" distR="0" wp14:anchorId="49101041" wp14:editId="45FC3E08">
            <wp:extent cx="4635795" cy="5113607"/>
            <wp:effectExtent l="0" t="0" r="0" b="5080"/>
            <wp:docPr id="1" name="Picture 1" descr="Text&#10;&#10;Description automatically generated">
              <a:extLst xmlns:a="http://schemas.openxmlformats.org/drawingml/2006/main">
                <a:ext uri="{FF2B5EF4-FFF2-40B4-BE49-F238E27FC236}">
                  <a16:creationId xmlns:a16="http://schemas.microsoft.com/office/drawing/2014/main" id="{84624DAF-4576-1DBA-B739-89D6406219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a:extLst>
                        <a:ext uri="{FF2B5EF4-FFF2-40B4-BE49-F238E27FC236}">
                          <a16:creationId xmlns:a16="http://schemas.microsoft.com/office/drawing/2014/main" id="{84624DAF-4576-1DBA-B739-89D64062196C}"/>
                        </a:ext>
                      </a:extLst>
                    </pic:cNvPr>
                    <pic:cNvPicPr>
                      <a:picLocks noChangeAspect="1"/>
                    </pic:cNvPicPr>
                  </pic:nvPicPr>
                  <pic:blipFill>
                    <a:blip r:embed="rId9"/>
                    <a:stretch>
                      <a:fillRect/>
                    </a:stretch>
                  </pic:blipFill>
                  <pic:spPr>
                    <a:xfrm>
                      <a:off x="0" y="0"/>
                      <a:ext cx="4639904" cy="5118140"/>
                    </a:xfrm>
                    <a:prstGeom prst="rect">
                      <a:avLst/>
                    </a:prstGeom>
                  </pic:spPr>
                </pic:pic>
              </a:graphicData>
            </a:graphic>
          </wp:inline>
        </w:drawing>
      </w:r>
    </w:p>
    <w:p w14:paraId="7614C194" w14:textId="3E0932E1" w:rsidR="009877B4" w:rsidRPr="009877B4" w:rsidRDefault="00C35549" w:rsidP="00F15286">
      <w:pPr>
        <w:tabs>
          <w:tab w:val="left" w:pos="1890"/>
        </w:tabs>
        <w:rPr>
          <w:rFonts w:ascii="Arial" w:hAnsi="Arial" w:cs="Arial"/>
          <w:sz w:val="22"/>
          <w:szCs w:val="22"/>
        </w:rPr>
      </w:pPr>
      <w:r>
        <w:rPr>
          <w:rFonts w:ascii="Arial" w:hAnsi="Arial" w:cs="Arial"/>
          <w:sz w:val="22"/>
          <w:szCs w:val="22"/>
        </w:rPr>
        <w:t xml:space="preserve"> </w:t>
      </w:r>
    </w:p>
    <w:p w14:paraId="638092F9" w14:textId="646D461F" w:rsidR="009877B4" w:rsidRDefault="009877B4" w:rsidP="00C35549">
      <w:pPr>
        <w:tabs>
          <w:tab w:val="left" w:pos="1890"/>
        </w:tabs>
        <w:spacing w:line="276" w:lineRule="auto"/>
        <w:jc w:val="both"/>
        <w:rPr>
          <w:rFonts w:ascii="Arial" w:hAnsi="Arial" w:cs="Arial"/>
          <w:sz w:val="22"/>
          <w:szCs w:val="22"/>
        </w:rPr>
      </w:pPr>
      <w:r w:rsidRPr="009877B4">
        <w:rPr>
          <w:rFonts w:ascii="Arial" w:hAnsi="Arial" w:cs="Arial"/>
          <w:sz w:val="22"/>
          <w:szCs w:val="22"/>
        </w:rPr>
        <w:t>Fig S</w:t>
      </w:r>
      <w:r w:rsidR="004905B9">
        <w:rPr>
          <w:rFonts w:ascii="Arial" w:hAnsi="Arial" w:cs="Arial"/>
          <w:sz w:val="22"/>
          <w:szCs w:val="22"/>
        </w:rPr>
        <w:t>5</w:t>
      </w:r>
      <w:r w:rsidR="00C35549">
        <w:rPr>
          <w:rFonts w:ascii="Arial" w:hAnsi="Arial" w:cs="Arial"/>
          <w:sz w:val="22"/>
          <w:szCs w:val="22"/>
        </w:rPr>
        <w:t>.</w:t>
      </w:r>
      <w:r w:rsidRPr="009877B4">
        <w:rPr>
          <w:rFonts w:ascii="Arial" w:hAnsi="Arial" w:cs="Arial"/>
          <w:sz w:val="22"/>
          <w:szCs w:val="22"/>
        </w:rPr>
        <w:t xml:space="preserve"> </w:t>
      </w:r>
      <w:r w:rsidR="00C35549" w:rsidRPr="00F94A45">
        <w:rPr>
          <w:rFonts w:ascii="Arial" w:eastAsia="Times New Roman" w:hAnsi="Arial" w:cs="Arial"/>
          <w:sz w:val="22"/>
          <w:szCs w:val="22"/>
        </w:rPr>
        <w:t xml:space="preserve">Hierarchical clustering heatmap of </w:t>
      </w:r>
      <w:r w:rsidR="00C35549">
        <w:rPr>
          <w:rFonts w:ascii="Arial" w:eastAsia="Times New Roman" w:hAnsi="Arial" w:cs="Arial"/>
          <w:sz w:val="22"/>
          <w:szCs w:val="22"/>
        </w:rPr>
        <w:t>the 1413 total</w:t>
      </w:r>
      <w:r w:rsidR="00C35549" w:rsidRPr="00F94A45">
        <w:rPr>
          <w:rFonts w:ascii="Arial" w:eastAsia="Times New Roman" w:hAnsi="Arial" w:cs="Arial"/>
          <w:sz w:val="22"/>
          <w:szCs w:val="22"/>
        </w:rPr>
        <w:t xml:space="preserve"> proteins</w:t>
      </w:r>
      <w:r w:rsidR="00C35549">
        <w:rPr>
          <w:rFonts w:ascii="Arial" w:eastAsia="Times New Roman" w:hAnsi="Arial" w:cs="Arial"/>
          <w:sz w:val="22"/>
          <w:szCs w:val="22"/>
        </w:rPr>
        <w:t xml:space="preserve"> identified</w:t>
      </w:r>
      <w:r w:rsidR="00C35549" w:rsidRPr="00F94A45">
        <w:rPr>
          <w:rFonts w:ascii="Arial" w:eastAsia="Times New Roman" w:hAnsi="Arial" w:cs="Arial"/>
          <w:sz w:val="22"/>
          <w:szCs w:val="22"/>
        </w:rPr>
        <w:t xml:space="preserve"> </w:t>
      </w:r>
      <w:r w:rsidR="00C35549">
        <w:rPr>
          <w:rFonts w:ascii="Arial" w:eastAsia="Times New Roman" w:hAnsi="Arial" w:cs="Arial"/>
          <w:sz w:val="22"/>
          <w:szCs w:val="22"/>
        </w:rPr>
        <w:t>showing</w:t>
      </w:r>
      <w:r w:rsidR="00C35549" w:rsidRPr="00F94A45">
        <w:rPr>
          <w:rFonts w:ascii="Arial" w:eastAsia="Times New Roman" w:hAnsi="Arial" w:cs="Arial"/>
          <w:sz w:val="22"/>
          <w:szCs w:val="22"/>
        </w:rPr>
        <w:t xml:space="preserve"> CKDu patients</w:t>
      </w:r>
      <w:r w:rsidR="00C35549">
        <w:rPr>
          <w:rFonts w:ascii="Arial" w:eastAsia="Times New Roman" w:hAnsi="Arial" w:cs="Arial"/>
          <w:sz w:val="22"/>
          <w:szCs w:val="22"/>
        </w:rPr>
        <w:t xml:space="preserve"> from Padaviya-1</w:t>
      </w:r>
      <w:r w:rsidR="00C35549" w:rsidRPr="00F94A45">
        <w:rPr>
          <w:rFonts w:ascii="Arial" w:eastAsia="Times New Roman" w:hAnsi="Arial" w:cs="Arial"/>
          <w:sz w:val="22"/>
          <w:szCs w:val="22"/>
        </w:rPr>
        <w:t xml:space="preserve"> and </w:t>
      </w:r>
      <w:r w:rsidR="00C35549">
        <w:rPr>
          <w:rFonts w:ascii="Arial" w:eastAsia="Times New Roman" w:hAnsi="Arial" w:cs="Arial"/>
          <w:sz w:val="22"/>
          <w:szCs w:val="22"/>
        </w:rPr>
        <w:t>non-CKDu controls from Matara</w:t>
      </w:r>
      <w:r w:rsidR="00C35549" w:rsidRPr="00F94A45">
        <w:rPr>
          <w:rFonts w:ascii="Arial" w:eastAsia="Times New Roman" w:hAnsi="Arial" w:cs="Arial"/>
          <w:sz w:val="22"/>
          <w:szCs w:val="22"/>
        </w:rPr>
        <w:t>. Each row indicates a protein, and each column indicates a</w:t>
      </w:r>
      <w:r w:rsidR="00C35549">
        <w:rPr>
          <w:rFonts w:ascii="Arial" w:eastAsia="Times New Roman" w:hAnsi="Arial" w:cs="Arial"/>
          <w:sz w:val="22"/>
          <w:szCs w:val="22"/>
        </w:rPr>
        <w:t>n individual subject</w:t>
      </w:r>
      <w:r w:rsidR="00C35549" w:rsidRPr="00F94A45">
        <w:rPr>
          <w:rFonts w:ascii="Arial" w:eastAsia="Times New Roman" w:hAnsi="Arial" w:cs="Arial"/>
          <w:sz w:val="22"/>
          <w:szCs w:val="22"/>
        </w:rPr>
        <w:t>. The protein intensity matrix is normalized by z-score and colored in the heatmap with red indicating higher abundance and blue indicating lower abundance than the row average.</w:t>
      </w:r>
    </w:p>
    <w:p w14:paraId="541CC11D" w14:textId="6E29652D" w:rsidR="00FD03C1" w:rsidRDefault="00FD03C1" w:rsidP="00F15286">
      <w:pPr>
        <w:tabs>
          <w:tab w:val="left" w:pos="1890"/>
        </w:tabs>
        <w:rPr>
          <w:rFonts w:ascii="Arial" w:hAnsi="Arial" w:cs="Arial"/>
          <w:sz w:val="22"/>
          <w:szCs w:val="22"/>
        </w:rPr>
      </w:pPr>
    </w:p>
    <w:p w14:paraId="451B61EA" w14:textId="706E2D45" w:rsidR="00FD03C1" w:rsidRDefault="00AB7726" w:rsidP="00F15286">
      <w:pPr>
        <w:tabs>
          <w:tab w:val="left" w:pos="1890"/>
        </w:tabs>
        <w:rPr>
          <w:rFonts w:ascii="Arial" w:hAnsi="Arial" w:cs="Arial"/>
          <w:sz w:val="22"/>
          <w:szCs w:val="22"/>
        </w:rPr>
      </w:pPr>
      <w:r>
        <w:rPr>
          <w:rFonts w:ascii="Arial" w:hAnsi="Arial" w:cs="Arial"/>
          <w:sz w:val="22"/>
          <w:szCs w:val="22"/>
        </w:rPr>
        <w:lastRenderedPageBreak/>
        <w:t xml:space="preserve">                         </w:t>
      </w:r>
      <w:r w:rsidR="00A64490" w:rsidRPr="00A64490">
        <w:rPr>
          <w:rFonts w:ascii="Arial" w:hAnsi="Arial" w:cs="Arial"/>
          <w:noProof/>
          <w:sz w:val="22"/>
          <w:szCs w:val="22"/>
        </w:rPr>
        <w:drawing>
          <wp:inline distT="0" distB="0" distL="0" distR="0" wp14:anchorId="067B91EC" wp14:editId="09A743F3">
            <wp:extent cx="4693709" cy="4242391"/>
            <wp:effectExtent l="0" t="0" r="0" b="0"/>
            <wp:docPr id="3" name="Picture 2" descr="Chart&#10;&#10;Description automatically generated">
              <a:extLst xmlns:a="http://schemas.openxmlformats.org/drawingml/2006/main">
                <a:ext uri="{FF2B5EF4-FFF2-40B4-BE49-F238E27FC236}">
                  <a16:creationId xmlns:a16="http://schemas.microsoft.com/office/drawing/2014/main" id="{CBA700BF-0DF2-7364-D6E2-48B89EDA72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CBA700BF-0DF2-7364-D6E2-48B89EDA7286}"/>
                        </a:ext>
                      </a:extLst>
                    </pic:cNvPr>
                    <pic:cNvPicPr>
                      <a:picLocks noChangeAspect="1"/>
                    </pic:cNvPicPr>
                  </pic:nvPicPr>
                  <pic:blipFill>
                    <a:blip r:embed="rId10"/>
                    <a:stretch>
                      <a:fillRect/>
                    </a:stretch>
                  </pic:blipFill>
                  <pic:spPr>
                    <a:xfrm>
                      <a:off x="0" y="0"/>
                      <a:ext cx="4699641" cy="4247753"/>
                    </a:xfrm>
                    <a:prstGeom prst="rect">
                      <a:avLst/>
                    </a:prstGeom>
                  </pic:spPr>
                </pic:pic>
              </a:graphicData>
            </a:graphic>
          </wp:inline>
        </w:drawing>
      </w:r>
    </w:p>
    <w:p w14:paraId="52E08FE1" w14:textId="2C639B28" w:rsidR="00A64490" w:rsidRDefault="00A64490" w:rsidP="00F15286">
      <w:pPr>
        <w:tabs>
          <w:tab w:val="left" w:pos="1890"/>
        </w:tabs>
        <w:rPr>
          <w:rFonts w:ascii="Arial" w:hAnsi="Arial" w:cs="Arial"/>
          <w:sz w:val="22"/>
          <w:szCs w:val="22"/>
        </w:rPr>
      </w:pPr>
    </w:p>
    <w:p w14:paraId="4DF2A5A8" w14:textId="4A806774" w:rsidR="00AB7726" w:rsidRDefault="001C6579" w:rsidP="00AB7726">
      <w:pPr>
        <w:tabs>
          <w:tab w:val="left" w:pos="1890"/>
        </w:tabs>
        <w:spacing w:line="276" w:lineRule="auto"/>
        <w:jc w:val="both"/>
        <w:rPr>
          <w:rFonts w:ascii="Arial" w:hAnsi="Arial" w:cs="Arial"/>
          <w:sz w:val="22"/>
          <w:szCs w:val="22"/>
        </w:rPr>
      </w:pPr>
      <w:r>
        <w:rPr>
          <w:rFonts w:ascii="Arial" w:hAnsi="Arial" w:cs="Arial"/>
          <w:sz w:val="22"/>
          <w:szCs w:val="22"/>
        </w:rPr>
        <w:t>Fig S</w:t>
      </w:r>
      <w:r w:rsidR="004905B9">
        <w:rPr>
          <w:rFonts w:ascii="Arial" w:hAnsi="Arial" w:cs="Arial"/>
          <w:sz w:val="22"/>
          <w:szCs w:val="22"/>
        </w:rPr>
        <w:t>6</w:t>
      </w:r>
      <w:r w:rsidR="00C35549">
        <w:rPr>
          <w:rFonts w:ascii="Arial" w:hAnsi="Arial" w:cs="Arial"/>
          <w:sz w:val="22"/>
          <w:szCs w:val="22"/>
        </w:rPr>
        <w:t xml:space="preserve">. </w:t>
      </w:r>
      <w:r w:rsidR="00C35549" w:rsidRPr="00C35549">
        <w:rPr>
          <w:rFonts w:ascii="Arial" w:hAnsi="Arial" w:cs="Arial"/>
          <w:sz w:val="22"/>
          <w:szCs w:val="22"/>
        </w:rPr>
        <w:t xml:space="preserve">Hierarchical clustering heatmap of 303 proteins with significantly different urinary abundance </w:t>
      </w:r>
      <w:r w:rsidR="00C35549" w:rsidRPr="00F94A45">
        <w:rPr>
          <w:rFonts w:ascii="Arial" w:eastAsia="Times New Roman" w:hAnsi="Arial" w:cs="Arial"/>
          <w:sz w:val="22"/>
          <w:szCs w:val="22"/>
        </w:rPr>
        <w:t xml:space="preserve">(adjusted p-value &lt; 0.05 calculated by multiple comparisons t-tests) </w:t>
      </w:r>
      <w:r w:rsidR="00C35549" w:rsidRPr="00C35549">
        <w:rPr>
          <w:rFonts w:ascii="Arial" w:hAnsi="Arial" w:cs="Arial"/>
          <w:sz w:val="22"/>
          <w:szCs w:val="22"/>
        </w:rPr>
        <w:t>between</w:t>
      </w:r>
      <w:r w:rsidR="00AB7726">
        <w:rPr>
          <w:rFonts w:ascii="Arial" w:hAnsi="Arial" w:cs="Arial"/>
          <w:sz w:val="22"/>
          <w:szCs w:val="22"/>
        </w:rPr>
        <w:t xml:space="preserve"> CKDu patient pools and non-CKDu control pools. The </w:t>
      </w:r>
      <w:r w:rsidR="00C35549" w:rsidRPr="00C35549">
        <w:rPr>
          <w:rFonts w:ascii="Arial" w:hAnsi="Arial" w:cs="Arial"/>
          <w:sz w:val="22"/>
          <w:szCs w:val="22"/>
        </w:rPr>
        <w:t xml:space="preserve">patient pools </w:t>
      </w:r>
      <w:r w:rsidR="00AB7726">
        <w:rPr>
          <w:rFonts w:ascii="Arial" w:hAnsi="Arial" w:cs="Arial"/>
          <w:sz w:val="22"/>
          <w:szCs w:val="22"/>
        </w:rPr>
        <w:t xml:space="preserve">are </w:t>
      </w:r>
      <w:r w:rsidR="00C35549">
        <w:rPr>
          <w:rFonts w:ascii="Arial" w:hAnsi="Arial" w:cs="Arial"/>
          <w:sz w:val="22"/>
          <w:szCs w:val="22"/>
        </w:rPr>
        <w:t xml:space="preserve">from </w:t>
      </w:r>
      <w:r w:rsidR="00AB7726">
        <w:rPr>
          <w:rFonts w:ascii="Arial" w:hAnsi="Arial" w:cs="Arial"/>
          <w:sz w:val="22"/>
          <w:szCs w:val="22"/>
        </w:rPr>
        <w:t>CKDu endemic regions (</w:t>
      </w:r>
      <w:r w:rsidR="00C35549">
        <w:rPr>
          <w:rFonts w:ascii="Arial" w:hAnsi="Arial" w:cs="Arial"/>
          <w:sz w:val="22"/>
          <w:szCs w:val="22"/>
        </w:rPr>
        <w:t>Padaviya-1, Padaviya-2</w:t>
      </w:r>
      <w:r w:rsidR="00AB7726">
        <w:rPr>
          <w:rFonts w:ascii="Arial" w:hAnsi="Arial" w:cs="Arial"/>
          <w:sz w:val="22"/>
          <w:szCs w:val="22"/>
        </w:rPr>
        <w:t>) and emerging region (</w:t>
      </w:r>
      <w:r w:rsidR="00C35549">
        <w:rPr>
          <w:rFonts w:ascii="Arial" w:hAnsi="Arial" w:cs="Arial"/>
          <w:sz w:val="22"/>
          <w:szCs w:val="22"/>
        </w:rPr>
        <w:t>Bibile</w:t>
      </w:r>
      <w:r w:rsidR="00AB7726">
        <w:rPr>
          <w:rFonts w:ascii="Arial" w:hAnsi="Arial" w:cs="Arial"/>
          <w:sz w:val="22"/>
          <w:szCs w:val="22"/>
        </w:rPr>
        <w:t xml:space="preserve">) </w:t>
      </w:r>
      <w:r w:rsidR="00C35549" w:rsidRPr="00C35549">
        <w:rPr>
          <w:rFonts w:ascii="Arial" w:hAnsi="Arial" w:cs="Arial"/>
          <w:sz w:val="22"/>
          <w:szCs w:val="22"/>
        </w:rPr>
        <w:t xml:space="preserve">and </w:t>
      </w:r>
      <w:r w:rsidR="00AB7726">
        <w:rPr>
          <w:rFonts w:ascii="Arial" w:hAnsi="Arial" w:cs="Arial"/>
          <w:sz w:val="22"/>
          <w:szCs w:val="22"/>
        </w:rPr>
        <w:t xml:space="preserve">the control </w:t>
      </w:r>
      <w:r w:rsidR="00C35549" w:rsidRPr="00C35549">
        <w:rPr>
          <w:rFonts w:ascii="Arial" w:hAnsi="Arial" w:cs="Arial"/>
          <w:sz w:val="22"/>
          <w:szCs w:val="22"/>
        </w:rPr>
        <w:t>pools</w:t>
      </w:r>
      <w:r w:rsidR="00AB7726">
        <w:rPr>
          <w:rFonts w:ascii="Arial" w:hAnsi="Arial" w:cs="Arial"/>
          <w:sz w:val="22"/>
          <w:szCs w:val="22"/>
        </w:rPr>
        <w:t xml:space="preserve"> are from non-endemic region (Matara), endemic regions (Padaviya-1, Padaviya-2) and emerging regions (Bibile </w:t>
      </w:r>
      <w:r w:rsidR="00AB7726" w:rsidRPr="00C35549">
        <w:rPr>
          <w:rFonts w:ascii="Arial" w:hAnsi="Arial" w:cs="Arial"/>
          <w:sz w:val="22"/>
          <w:szCs w:val="22"/>
        </w:rPr>
        <w:t>and</w:t>
      </w:r>
      <w:r w:rsidR="00AB7726">
        <w:rPr>
          <w:rFonts w:ascii="Arial" w:hAnsi="Arial" w:cs="Arial"/>
          <w:sz w:val="22"/>
          <w:szCs w:val="22"/>
        </w:rPr>
        <w:t xml:space="preserve"> Dimbulagala). </w:t>
      </w:r>
      <w:r w:rsidR="00AB7726" w:rsidRPr="00F94A45">
        <w:rPr>
          <w:rFonts w:ascii="Arial" w:eastAsia="Times New Roman" w:hAnsi="Arial" w:cs="Arial"/>
          <w:sz w:val="22"/>
          <w:szCs w:val="22"/>
        </w:rPr>
        <w:t>The protein intensity matrix is normalized by z-score and colored in the heatmap with red indicating higher abundance and blue indicating lower abundance than the row average.</w:t>
      </w:r>
    </w:p>
    <w:p w14:paraId="3F005C4F" w14:textId="77777777" w:rsidR="009877B4" w:rsidRPr="009877B4" w:rsidRDefault="009877B4" w:rsidP="00F15286">
      <w:pPr>
        <w:tabs>
          <w:tab w:val="left" w:pos="1890"/>
        </w:tabs>
        <w:rPr>
          <w:rFonts w:ascii="Arial" w:hAnsi="Arial" w:cs="Arial"/>
          <w:sz w:val="22"/>
          <w:szCs w:val="22"/>
        </w:rPr>
      </w:pPr>
    </w:p>
    <w:p w14:paraId="7DA6FDB4" w14:textId="77777777" w:rsidR="009877B4" w:rsidRPr="009877B4" w:rsidRDefault="009877B4" w:rsidP="00F15286">
      <w:pPr>
        <w:tabs>
          <w:tab w:val="left" w:pos="1890"/>
        </w:tabs>
        <w:rPr>
          <w:rFonts w:ascii="Arial" w:hAnsi="Arial" w:cs="Arial"/>
          <w:sz w:val="22"/>
          <w:szCs w:val="22"/>
        </w:rPr>
      </w:pPr>
    </w:p>
    <w:p w14:paraId="1D1FC08D" w14:textId="77777777" w:rsidR="009877B4" w:rsidRPr="009877B4" w:rsidRDefault="009877B4" w:rsidP="00F15286">
      <w:pPr>
        <w:tabs>
          <w:tab w:val="left" w:pos="1890"/>
        </w:tabs>
        <w:rPr>
          <w:rFonts w:ascii="Arial" w:hAnsi="Arial" w:cs="Arial"/>
          <w:sz w:val="22"/>
          <w:szCs w:val="22"/>
        </w:rPr>
      </w:pPr>
    </w:p>
    <w:p w14:paraId="0A890959" w14:textId="77777777" w:rsidR="009877B4" w:rsidRPr="009877B4" w:rsidRDefault="009877B4" w:rsidP="00F15286">
      <w:pPr>
        <w:tabs>
          <w:tab w:val="left" w:pos="1890"/>
        </w:tabs>
        <w:rPr>
          <w:rFonts w:ascii="Arial" w:hAnsi="Arial" w:cs="Arial"/>
          <w:sz w:val="22"/>
          <w:szCs w:val="22"/>
        </w:rPr>
      </w:pPr>
    </w:p>
    <w:p w14:paraId="052AC68D" w14:textId="02E2C0C5" w:rsidR="0077322A" w:rsidRPr="009877B4" w:rsidRDefault="00AB7726" w:rsidP="00F15286">
      <w:pPr>
        <w:tabs>
          <w:tab w:val="left" w:pos="1890"/>
        </w:tabs>
        <w:rPr>
          <w:rFonts w:ascii="Arial" w:hAnsi="Arial" w:cs="Arial"/>
          <w:sz w:val="22"/>
          <w:szCs w:val="22"/>
        </w:rPr>
      </w:pPr>
      <w:r>
        <w:rPr>
          <w:rFonts w:ascii="Arial" w:hAnsi="Arial" w:cs="Arial"/>
          <w:sz w:val="22"/>
          <w:szCs w:val="22"/>
        </w:rPr>
        <w:lastRenderedPageBreak/>
        <w:t xml:space="preserve">          </w:t>
      </w:r>
      <w:r w:rsidR="00F15286" w:rsidRPr="009877B4">
        <w:rPr>
          <w:rFonts w:ascii="Arial" w:hAnsi="Arial" w:cs="Arial"/>
          <w:noProof/>
          <w:sz w:val="22"/>
          <w:szCs w:val="22"/>
        </w:rPr>
        <w:drawing>
          <wp:inline distT="0" distB="0" distL="0" distR="0" wp14:anchorId="7CA92FE8" wp14:editId="1C378727">
            <wp:extent cx="5943600" cy="3192145"/>
            <wp:effectExtent l="0" t="0" r="0" b="0"/>
            <wp:docPr id="2" name="Picture 1" descr="Chart, scatter chart&#10;&#10;Description automatically generated">
              <a:extLst xmlns:a="http://schemas.openxmlformats.org/drawingml/2006/main">
                <a:ext uri="{FF2B5EF4-FFF2-40B4-BE49-F238E27FC236}">
                  <a16:creationId xmlns:a16="http://schemas.microsoft.com/office/drawing/2014/main" id="{2C73598E-D5FC-C937-501A-979C2C8681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hart, scatter chart&#10;&#10;Description automatically generated">
                      <a:extLst>
                        <a:ext uri="{FF2B5EF4-FFF2-40B4-BE49-F238E27FC236}">
                          <a16:creationId xmlns:a16="http://schemas.microsoft.com/office/drawing/2014/main" id="{2C73598E-D5FC-C937-501A-979C2C86813F}"/>
                        </a:ext>
                      </a:extLst>
                    </pic:cNvPr>
                    <pic:cNvPicPr>
                      <a:picLocks noChangeAspect="1"/>
                    </pic:cNvPicPr>
                  </pic:nvPicPr>
                  <pic:blipFill>
                    <a:blip r:embed="rId11"/>
                    <a:stretch>
                      <a:fillRect/>
                    </a:stretch>
                  </pic:blipFill>
                  <pic:spPr>
                    <a:xfrm>
                      <a:off x="0" y="0"/>
                      <a:ext cx="5943600" cy="3192145"/>
                    </a:xfrm>
                    <a:prstGeom prst="rect">
                      <a:avLst/>
                    </a:prstGeom>
                  </pic:spPr>
                </pic:pic>
              </a:graphicData>
            </a:graphic>
          </wp:inline>
        </w:drawing>
      </w:r>
    </w:p>
    <w:p w14:paraId="27C95627" w14:textId="26A46F34" w:rsidR="00F15286" w:rsidRPr="009877B4" w:rsidRDefault="00AB7726" w:rsidP="00F15286">
      <w:pPr>
        <w:tabs>
          <w:tab w:val="left" w:pos="1890"/>
        </w:tabs>
        <w:rPr>
          <w:rFonts w:ascii="Arial" w:hAnsi="Arial" w:cs="Arial"/>
          <w:sz w:val="22"/>
          <w:szCs w:val="22"/>
        </w:rPr>
      </w:pPr>
      <w:r>
        <w:rPr>
          <w:rFonts w:ascii="Arial" w:hAnsi="Arial" w:cs="Arial"/>
          <w:sz w:val="22"/>
          <w:szCs w:val="22"/>
        </w:rPr>
        <w:t xml:space="preserve">  </w:t>
      </w:r>
    </w:p>
    <w:p w14:paraId="26D47FF4" w14:textId="14982AB2" w:rsidR="00F15286" w:rsidRPr="00697B88" w:rsidRDefault="00F15286" w:rsidP="00697B88">
      <w:pPr>
        <w:tabs>
          <w:tab w:val="left" w:pos="1890"/>
        </w:tabs>
        <w:jc w:val="both"/>
        <w:rPr>
          <w:rFonts w:ascii="Arial" w:hAnsi="Arial" w:cs="Arial"/>
          <w:sz w:val="22"/>
          <w:szCs w:val="22"/>
        </w:rPr>
      </w:pPr>
      <w:r w:rsidRPr="009877B4">
        <w:rPr>
          <w:rFonts w:ascii="Arial" w:hAnsi="Arial" w:cs="Arial"/>
          <w:sz w:val="22"/>
          <w:szCs w:val="22"/>
        </w:rPr>
        <w:t>Figure S</w:t>
      </w:r>
      <w:r w:rsidR="004905B9">
        <w:rPr>
          <w:rFonts w:ascii="Arial" w:hAnsi="Arial" w:cs="Arial"/>
          <w:sz w:val="22"/>
          <w:szCs w:val="22"/>
        </w:rPr>
        <w:t>7</w:t>
      </w:r>
      <w:r w:rsidRPr="009877B4">
        <w:rPr>
          <w:rFonts w:ascii="Arial" w:hAnsi="Arial" w:cs="Arial"/>
          <w:sz w:val="22"/>
          <w:szCs w:val="22"/>
        </w:rPr>
        <w:t xml:space="preserve">. Volcano plot showing </w:t>
      </w:r>
      <w:r w:rsidRPr="009877B4">
        <w:rPr>
          <w:rFonts w:ascii="Arial" w:eastAsia="Times New Roman" w:hAnsi="Arial" w:cs="Arial"/>
          <w:sz w:val="22"/>
          <w:szCs w:val="22"/>
        </w:rPr>
        <w:t>proteins</w:t>
      </w:r>
      <w:r w:rsidR="00AB7726">
        <w:rPr>
          <w:rFonts w:ascii="Arial" w:eastAsia="Times New Roman" w:hAnsi="Arial" w:cs="Arial"/>
          <w:sz w:val="22"/>
          <w:szCs w:val="22"/>
        </w:rPr>
        <w:t xml:space="preserve"> </w:t>
      </w:r>
      <w:r w:rsidR="00AB7726" w:rsidRPr="00C35549">
        <w:rPr>
          <w:rFonts w:ascii="Arial" w:hAnsi="Arial" w:cs="Arial"/>
          <w:sz w:val="22"/>
          <w:szCs w:val="22"/>
        </w:rPr>
        <w:t xml:space="preserve">with significantly different urinary abundance </w:t>
      </w:r>
      <w:r w:rsidR="00AB7726" w:rsidRPr="00F94A45">
        <w:rPr>
          <w:rFonts w:ascii="Arial" w:eastAsia="Times New Roman" w:hAnsi="Arial" w:cs="Arial"/>
          <w:sz w:val="22"/>
          <w:szCs w:val="22"/>
        </w:rPr>
        <w:t xml:space="preserve"> </w:t>
      </w:r>
      <w:r w:rsidR="00AB7726" w:rsidRPr="00C35549">
        <w:rPr>
          <w:rFonts w:ascii="Arial" w:hAnsi="Arial" w:cs="Arial"/>
          <w:sz w:val="22"/>
          <w:szCs w:val="22"/>
        </w:rPr>
        <w:t>between</w:t>
      </w:r>
      <w:r w:rsidR="00AB7726">
        <w:rPr>
          <w:rFonts w:ascii="Arial" w:hAnsi="Arial" w:cs="Arial"/>
          <w:sz w:val="22"/>
          <w:szCs w:val="22"/>
        </w:rPr>
        <w:t xml:space="preserve"> CKDu patients and non-CKDu controls. In red are differentially abundant proteins (DAPs)</w:t>
      </w:r>
      <w:r w:rsidR="00697B88">
        <w:rPr>
          <w:rFonts w:ascii="Arial" w:hAnsi="Arial" w:cs="Arial"/>
          <w:sz w:val="22"/>
          <w:szCs w:val="22"/>
        </w:rPr>
        <w:t xml:space="preserve"> or candidates</w:t>
      </w:r>
      <w:r w:rsidR="00AB7726">
        <w:rPr>
          <w:rFonts w:ascii="Arial" w:hAnsi="Arial" w:cs="Arial"/>
          <w:sz w:val="22"/>
          <w:szCs w:val="22"/>
        </w:rPr>
        <w:t xml:space="preserve"> that passed the q-value and p-value threshold of less than 0.05 and </w:t>
      </w:r>
      <w:r w:rsidR="00697B88">
        <w:rPr>
          <w:rFonts w:ascii="Arial" w:hAnsi="Arial" w:cs="Arial"/>
          <w:sz w:val="22"/>
          <w:szCs w:val="22"/>
        </w:rPr>
        <w:t>absolute log</w:t>
      </w:r>
      <w:r w:rsidR="00697B88">
        <w:rPr>
          <w:rFonts w:ascii="Arial" w:hAnsi="Arial" w:cs="Arial"/>
          <w:sz w:val="22"/>
          <w:szCs w:val="22"/>
          <w:vertAlign w:val="subscript"/>
        </w:rPr>
        <w:t>2</w:t>
      </w:r>
      <w:r w:rsidR="00697B88">
        <w:rPr>
          <w:rFonts w:ascii="Arial" w:hAnsi="Arial" w:cs="Arial"/>
          <w:sz w:val="22"/>
          <w:szCs w:val="22"/>
        </w:rPr>
        <w:t xml:space="preserve"> fold change of 0.58 (i.e., absolute fold change of 1.5). In grey are the proteins that did not pass the significance thresholds.</w:t>
      </w:r>
    </w:p>
    <w:p w14:paraId="4950DD68" w14:textId="3E4ABA7E" w:rsidR="001C6579" w:rsidRDefault="001C6579" w:rsidP="00F15286">
      <w:pPr>
        <w:tabs>
          <w:tab w:val="left" w:pos="1890"/>
        </w:tabs>
        <w:rPr>
          <w:rFonts w:ascii="Arial" w:hAnsi="Arial" w:cs="Arial"/>
          <w:sz w:val="22"/>
          <w:szCs w:val="22"/>
        </w:rPr>
      </w:pPr>
    </w:p>
    <w:p w14:paraId="53E15A33" w14:textId="43447B54" w:rsidR="001C6579" w:rsidRDefault="00697B88" w:rsidP="00F15286">
      <w:pPr>
        <w:tabs>
          <w:tab w:val="left" w:pos="1890"/>
        </w:tabs>
        <w:rPr>
          <w:rFonts w:ascii="Arial" w:hAnsi="Arial" w:cs="Arial"/>
          <w:sz w:val="22"/>
          <w:szCs w:val="22"/>
        </w:rPr>
      </w:pPr>
      <w:r>
        <w:rPr>
          <w:rFonts w:ascii="Arial" w:hAnsi="Arial" w:cs="Arial"/>
          <w:sz w:val="22"/>
          <w:szCs w:val="22"/>
        </w:rPr>
        <w:lastRenderedPageBreak/>
        <w:t xml:space="preserve">         </w:t>
      </w:r>
      <w:r w:rsidR="00C35549" w:rsidRPr="00C35549">
        <w:rPr>
          <w:rFonts w:ascii="Arial" w:hAnsi="Arial" w:cs="Arial"/>
          <w:noProof/>
          <w:sz w:val="22"/>
          <w:szCs w:val="22"/>
        </w:rPr>
        <w:drawing>
          <wp:inline distT="0" distB="0" distL="0" distR="0" wp14:anchorId="08FF4221" wp14:editId="608A3005">
            <wp:extent cx="4830976" cy="5039833"/>
            <wp:effectExtent l="0" t="0" r="0" b="2540"/>
            <wp:docPr id="4" name="Picture 1" descr="A screenshot of a computer&#10;&#10;Description automatically generated with medium confidence">
              <a:extLst xmlns:a="http://schemas.openxmlformats.org/drawingml/2006/main">
                <a:ext uri="{FF2B5EF4-FFF2-40B4-BE49-F238E27FC236}">
                  <a16:creationId xmlns:a16="http://schemas.microsoft.com/office/drawing/2014/main" id="{5F762B06-F566-0A31-F102-2788F4305E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A screenshot of a computer&#10;&#10;Description automatically generated with medium confidence">
                      <a:extLst>
                        <a:ext uri="{FF2B5EF4-FFF2-40B4-BE49-F238E27FC236}">
                          <a16:creationId xmlns:a16="http://schemas.microsoft.com/office/drawing/2014/main" id="{5F762B06-F566-0A31-F102-2788F4305EB2}"/>
                        </a:ext>
                      </a:extLst>
                    </pic:cNvPr>
                    <pic:cNvPicPr>
                      <a:picLocks noChangeAspect="1"/>
                    </pic:cNvPicPr>
                  </pic:nvPicPr>
                  <pic:blipFill>
                    <a:blip r:embed="rId12"/>
                    <a:stretch>
                      <a:fillRect/>
                    </a:stretch>
                  </pic:blipFill>
                  <pic:spPr>
                    <a:xfrm>
                      <a:off x="0" y="0"/>
                      <a:ext cx="4837732" cy="5046881"/>
                    </a:xfrm>
                    <a:prstGeom prst="rect">
                      <a:avLst/>
                    </a:prstGeom>
                  </pic:spPr>
                </pic:pic>
              </a:graphicData>
            </a:graphic>
          </wp:inline>
        </w:drawing>
      </w:r>
    </w:p>
    <w:p w14:paraId="1582C64B" w14:textId="7A7C0B67" w:rsidR="00C35549" w:rsidRDefault="00C35549" w:rsidP="00F15286">
      <w:pPr>
        <w:tabs>
          <w:tab w:val="left" w:pos="1890"/>
        </w:tabs>
        <w:rPr>
          <w:rFonts w:ascii="Arial" w:hAnsi="Arial" w:cs="Arial"/>
          <w:sz w:val="22"/>
          <w:szCs w:val="22"/>
        </w:rPr>
      </w:pPr>
    </w:p>
    <w:p w14:paraId="03CE76B7" w14:textId="0B2098F3" w:rsidR="00C35549" w:rsidRPr="00697B88" w:rsidRDefault="00C35549" w:rsidP="00697B88">
      <w:pPr>
        <w:tabs>
          <w:tab w:val="left" w:pos="1890"/>
        </w:tabs>
        <w:spacing w:line="276" w:lineRule="auto"/>
        <w:jc w:val="both"/>
        <w:rPr>
          <w:rFonts w:ascii="Arial" w:eastAsia="Times New Roman" w:hAnsi="Arial" w:cs="Arial"/>
          <w:sz w:val="22"/>
          <w:szCs w:val="22"/>
        </w:rPr>
      </w:pPr>
      <w:r w:rsidRPr="00697B88">
        <w:rPr>
          <w:rFonts w:ascii="Arial" w:hAnsi="Arial" w:cs="Arial"/>
          <w:sz w:val="22"/>
          <w:szCs w:val="22"/>
        </w:rPr>
        <w:t>Fig S</w:t>
      </w:r>
      <w:r w:rsidR="004905B9">
        <w:rPr>
          <w:rFonts w:ascii="Arial" w:hAnsi="Arial" w:cs="Arial"/>
          <w:sz w:val="22"/>
          <w:szCs w:val="22"/>
        </w:rPr>
        <w:t>8</w:t>
      </w:r>
      <w:r w:rsidRPr="00697B88">
        <w:rPr>
          <w:rFonts w:ascii="Arial" w:hAnsi="Arial" w:cs="Arial"/>
          <w:sz w:val="22"/>
          <w:szCs w:val="22"/>
        </w:rPr>
        <w:t xml:space="preserve">: </w:t>
      </w:r>
      <w:r w:rsidR="00697B88" w:rsidRPr="00697B88">
        <w:rPr>
          <w:rFonts w:ascii="Arial" w:eastAsia="Times New Roman" w:hAnsi="Arial" w:cs="Arial"/>
          <w:sz w:val="22"/>
          <w:szCs w:val="22"/>
        </w:rPr>
        <w:t xml:space="preserve">Urinary protein abundance of different fatty acid binding proteins in CKDu patients and non-CKDu controls. Values are represented in arbitrary units calculating from precursor intensities using the MaxLFQ algorithm. Differences between the patients and controls were compared using two-tailed t-test with Welch’s correction. *p &lt; 0.05, **p &lt; 0.005, ***p &lt; 0.0005, ****p &lt; 0.0001. These markers also passed a Benjamini-Hochberg false discovery rate (FDR) threshold of q &lt; 0.05 during multiple comparison tests. FABP4, </w:t>
      </w:r>
      <w:r w:rsidR="00697B88" w:rsidRPr="00697B88">
        <w:rPr>
          <w:rFonts w:ascii="Arial" w:hAnsi="Arial" w:cs="Arial"/>
          <w:color w:val="000000"/>
          <w:sz w:val="22"/>
          <w:szCs w:val="22"/>
        </w:rPr>
        <w:t>adipocyte-type FABP; FABP6, ilial-type FABP; FABP7, brain-type FABP; FABPH, heart-type FAB</w:t>
      </w:r>
      <w:r w:rsidR="00697B88" w:rsidRPr="00697B88">
        <w:rPr>
          <w:rFonts w:ascii="Arial" w:eastAsia="Times New Roman" w:hAnsi="Arial" w:cs="Arial"/>
          <w:sz w:val="22"/>
          <w:szCs w:val="22"/>
        </w:rPr>
        <w:t xml:space="preserve"> ; </w:t>
      </w:r>
      <w:r w:rsidR="00697B88" w:rsidRPr="00697B88">
        <w:rPr>
          <w:rFonts w:ascii="Arial" w:hAnsi="Arial" w:cs="Arial"/>
          <w:color w:val="000000"/>
          <w:sz w:val="22"/>
          <w:szCs w:val="22"/>
        </w:rPr>
        <w:t>FABPI, intestinal-type FABP;</w:t>
      </w:r>
      <w:r w:rsidR="00697B88" w:rsidRPr="00697B88">
        <w:rPr>
          <w:rFonts w:ascii="Arial" w:eastAsia="Times New Roman" w:hAnsi="Arial" w:cs="Arial"/>
          <w:sz w:val="22"/>
          <w:szCs w:val="22"/>
        </w:rPr>
        <w:t xml:space="preserve"> FABPL, fatty acid binding protein liver-type</w:t>
      </w:r>
    </w:p>
    <w:p w14:paraId="4959A5D5" w14:textId="7C984DBB" w:rsidR="00697B88" w:rsidRDefault="00697B88" w:rsidP="00697B88">
      <w:pPr>
        <w:tabs>
          <w:tab w:val="left" w:pos="1890"/>
        </w:tabs>
        <w:spacing w:line="276" w:lineRule="auto"/>
        <w:jc w:val="both"/>
        <w:rPr>
          <w:rFonts w:ascii="Arial" w:eastAsia="Times New Roman" w:hAnsi="Arial" w:cs="Arial"/>
          <w:sz w:val="22"/>
          <w:szCs w:val="22"/>
        </w:rPr>
      </w:pPr>
    </w:p>
    <w:p w14:paraId="79EB0C9F" w14:textId="0439EB64" w:rsidR="00331EB4" w:rsidRDefault="00331EB4" w:rsidP="00697B88">
      <w:pPr>
        <w:tabs>
          <w:tab w:val="left" w:pos="1890"/>
        </w:tabs>
        <w:spacing w:line="276" w:lineRule="auto"/>
        <w:jc w:val="both"/>
        <w:rPr>
          <w:rFonts w:ascii="Arial" w:eastAsia="Times New Roman" w:hAnsi="Arial" w:cs="Arial"/>
          <w:sz w:val="22"/>
          <w:szCs w:val="22"/>
        </w:rPr>
      </w:pPr>
    </w:p>
    <w:p w14:paraId="3D081253" w14:textId="2858E6BF" w:rsidR="00331EB4" w:rsidRDefault="00331EB4" w:rsidP="00697B88">
      <w:pPr>
        <w:tabs>
          <w:tab w:val="left" w:pos="1890"/>
        </w:tabs>
        <w:spacing w:line="276" w:lineRule="auto"/>
        <w:jc w:val="both"/>
        <w:rPr>
          <w:rFonts w:ascii="Arial" w:eastAsia="Times New Roman" w:hAnsi="Arial" w:cs="Arial"/>
          <w:sz w:val="22"/>
          <w:szCs w:val="22"/>
        </w:rPr>
      </w:pPr>
      <w:r>
        <w:rPr>
          <w:rFonts w:ascii="Arial" w:eastAsia="Times New Roman" w:hAnsi="Arial" w:cs="Arial"/>
          <w:sz w:val="22"/>
          <w:szCs w:val="22"/>
        </w:rPr>
        <w:lastRenderedPageBreak/>
        <w:t xml:space="preserve">                              </w:t>
      </w:r>
      <w:r w:rsidRPr="00331EB4">
        <w:rPr>
          <w:rFonts w:ascii="Arial" w:eastAsia="Times New Roman" w:hAnsi="Arial" w:cs="Arial"/>
          <w:noProof/>
          <w:sz w:val="22"/>
          <w:szCs w:val="22"/>
        </w:rPr>
        <w:drawing>
          <wp:inline distT="0" distB="0" distL="0" distR="0" wp14:anchorId="1B8F5E3E" wp14:editId="57BCC9C1">
            <wp:extent cx="3109460" cy="2222205"/>
            <wp:effectExtent l="0" t="0" r="0" b="635"/>
            <wp:docPr id="5" name="Picture 3">
              <a:extLst xmlns:a="http://schemas.openxmlformats.org/drawingml/2006/main">
                <a:ext uri="{FF2B5EF4-FFF2-40B4-BE49-F238E27FC236}">
                  <a16:creationId xmlns:a16="http://schemas.microsoft.com/office/drawing/2014/main" id="{461D7F95-B234-7976-70F2-482981A1E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61D7F95-B234-7976-70F2-482981A1EEA3}"/>
                        </a:ext>
                      </a:extLst>
                    </pic:cNvPr>
                    <pic:cNvPicPr>
                      <a:picLocks noChangeAspect="1"/>
                    </pic:cNvPicPr>
                  </pic:nvPicPr>
                  <pic:blipFill>
                    <a:blip r:embed="rId13"/>
                    <a:stretch>
                      <a:fillRect/>
                    </a:stretch>
                  </pic:blipFill>
                  <pic:spPr>
                    <a:xfrm>
                      <a:off x="0" y="0"/>
                      <a:ext cx="3119242" cy="2229195"/>
                    </a:xfrm>
                    <a:prstGeom prst="rect">
                      <a:avLst/>
                    </a:prstGeom>
                  </pic:spPr>
                </pic:pic>
              </a:graphicData>
            </a:graphic>
          </wp:inline>
        </w:drawing>
      </w:r>
    </w:p>
    <w:p w14:paraId="7598F29E" w14:textId="77EA9A77" w:rsidR="00331EB4" w:rsidRDefault="00331EB4" w:rsidP="00697B88">
      <w:pPr>
        <w:tabs>
          <w:tab w:val="left" w:pos="1890"/>
        </w:tabs>
        <w:spacing w:line="276" w:lineRule="auto"/>
        <w:jc w:val="both"/>
        <w:rPr>
          <w:rFonts w:ascii="Arial" w:eastAsia="Times New Roman" w:hAnsi="Arial" w:cs="Arial"/>
          <w:sz w:val="22"/>
          <w:szCs w:val="22"/>
        </w:rPr>
      </w:pPr>
    </w:p>
    <w:p w14:paraId="7E34AEA1" w14:textId="77777777" w:rsidR="00331EB4" w:rsidRDefault="00331EB4" w:rsidP="00697B88">
      <w:pPr>
        <w:tabs>
          <w:tab w:val="left" w:pos="1890"/>
        </w:tabs>
        <w:spacing w:line="276" w:lineRule="auto"/>
        <w:jc w:val="both"/>
        <w:rPr>
          <w:rFonts w:ascii="Arial" w:eastAsia="Times New Roman" w:hAnsi="Arial" w:cs="Arial"/>
          <w:sz w:val="22"/>
          <w:szCs w:val="22"/>
        </w:rPr>
      </w:pPr>
    </w:p>
    <w:p w14:paraId="59D80586" w14:textId="5BAECD23" w:rsidR="00331EB4" w:rsidRPr="00697B88" w:rsidRDefault="00331EB4" w:rsidP="00331EB4">
      <w:pPr>
        <w:tabs>
          <w:tab w:val="left" w:pos="1890"/>
        </w:tabs>
        <w:spacing w:line="276" w:lineRule="auto"/>
        <w:jc w:val="both"/>
        <w:rPr>
          <w:rFonts w:ascii="Arial" w:eastAsia="Times New Roman" w:hAnsi="Arial" w:cs="Arial"/>
          <w:sz w:val="22"/>
          <w:szCs w:val="22"/>
        </w:rPr>
      </w:pPr>
      <w:r w:rsidRPr="00697B88">
        <w:rPr>
          <w:rFonts w:ascii="Arial" w:hAnsi="Arial" w:cs="Arial"/>
          <w:sz w:val="22"/>
          <w:szCs w:val="22"/>
        </w:rPr>
        <w:t xml:space="preserve">Fig </w:t>
      </w:r>
      <w:r>
        <w:rPr>
          <w:rFonts w:ascii="Arial" w:hAnsi="Arial" w:cs="Arial"/>
          <w:sz w:val="22"/>
          <w:szCs w:val="22"/>
        </w:rPr>
        <w:t>S9</w:t>
      </w:r>
      <w:r w:rsidRPr="00697B88">
        <w:rPr>
          <w:rFonts w:ascii="Arial" w:hAnsi="Arial" w:cs="Arial"/>
          <w:sz w:val="22"/>
          <w:szCs w:val="22"/>
        </w:rPr>
        <w:t xml:space="preserve">: </w:t>
      </w:r>
      <w:r w:rsidRPr="00697B88">
        <w:rPr>
          <w:rFonts w:ascii="Arial" w:eastAsia="Times New Roman" w:hAnsi="Arial" w:cs="Arial"/>
          <w:sz w:val="22"/>
          <w:szCs w:val="22"/>
        </w:rPr>
        <w:t xml:space="preserve">Urinary protein abundance of </w:t>
      </w:r>
      <w:r>
        <w:rPr>
          <w:rFonts w:ascii="Arial" w:eastAsia="Times New Roman" w:hAnsi="Arial" w:cs="Arial"/>
          <w:sz w:val="22"/>
          <w:szCs w:val="22"/>
        </w:rPr>
        <w:t>known kidney disease protein markers</w:t>
      </w:r>
      <w:r w:rsidRPr="00697B88">
        <w:rPr>
          <w:rFonts w:ascii="Arial" w:eastAsia="Times New Roman" w:hAnsi="Arial" w:cs="Arial"/>
          <w:sz w:val="22"/>
          <w:szCs w:val="22"/>
        </w:rPr>
        <w:t xml:space="preserve"> in CKDu patients and non-CKDu controls</w:t>
      </w:r>
      <w:r>
        <w:rPr>
          <w:rFonts w:ascii="Arial" w:eastAsia="Times New Roman" w:hAnsi="Arial" w:cs="Arial"/>
          <w:sz w:val="22"/>
          <w:szCs w:val="22"/>
        </w:rPr>
        <w:t xml:space="preserve"> that do not agree with the known trend in other kidney diseases</w:t>
      </w:r>
      <w:r w:rsidRPr="00697B88">
        <w:rPr>
          <w:rFonts w:ascii="Arial" w:eastAsia="Times New Roman" w:hAnsi="Arial" w:cs="Arial"/>
          <w:sz w:val="22"/>
          <w:szCs w:val="22"/>
        </w:rPr>
        <w:t>. Values are represented in arbitrary units calculating from precursor intensities using the MaxLFQ algorithm. Differences between the patients and controls were compared using two-tailed t-test with Welch’s correction</w:t>
      </w:r>
      <w:r>
        <w:rPr>
          <w:rFonts w:ascii="Arial" w:eastAsia="Times New Roman" w:hAnsi="Arial" w:cs="Arial"/>
          <w:sz w:val="22"/>
          <w:szCs w:val="22"/>
        </w:rPr>
        <w:t xml:space="preserve">, </w:t>
      </w:r>
      <w:r w:rsidRPr="00697B88">
        <w:rPr>
          <w:rFonts w:ascii="Arial" w:eastAsia="Times New Roman" w:hAnsi="Arial" w:cs="Arial"/>
          <w:sz w:val="22"/>
          <w:szCs w:val="22"/>
        </w:rPr>
        <w:t xml:space="preserve">****p &lt; 0.0001. </w:t>
      </w:r>
      <w:r>
        <w:rPr>
          <w:rFonts w:ascii="Arial" w:eastAsia="Times New Roman" w:hAnsi="Arial" w:cs="Arial"/>
          <w:sz w:val="22"/>
          <w:szCs w:val="22"/>
        </w:rPr>
        <w:t>AQP1</w:t>
      </w:r>
      <w:r w:rsidRPr="00697B88">
        <w:rPr>
          <w:rFonts w:ascii="Arial" w:eastAsia="Times New Roman" w:hAnsi="Arial" w:cs="Arial"/>
          <w:sz w:val="22"/>
          <w:szCs w:val="22"/>
        </w:rPr>
        <w:t xml:space="preserve"> also passed a Benjamini-Hochberg false discovery rate (FDR) threshold of q &lt; 0.05 during multiple comparison tests. </w:t>
      </w:r>
      <w:r>
        <w:rPr>
          <w:rFonts w:ascii="Arial" w:eastAsia="Times New Roman" w:hAnsi="Arial" w:cs="Arial"/>
          <w:sz w:val="22"/>
          <w:szCs w:val="22"/>
        </w:rPr>
        <w:t>CLUS</w:t>
      </w:r>
      <w:r w:rsidRPr="00697B88">
        <w:rPr>
          <w:rFonts w:ascii="Arial" w:eastAsia="Times New Roman" w:hAnsi="Arial" w:cs="Arial"/>
          <w:sz w:val="22"/>
          <w:szCs w:val="22"/>
        </w:rPr>
        <w:t xml:space="preserve">, </w:t>
      </w:r>
      <w:r>
        <w:rPr>
          <w:rFonts w:ascii="Arial" w:hAnsi="Arial" w:cs="Arial"/>
          <w:color w:val="000000"/>
          <w:sz w:val="22"/>
          <w:szCs w:val="22"/>
        </w:rPr>
        <w:t>clusterin</w:t>
      </w:r>
      <w:r w:rsidRPr="00697B88">
        <w:rPr>
          <w:rFonts w:ascii="Arial" w:hAnsi="Arial" w:cs="Arial"/>
          <w:color w:val="000000"/>
          <w:sz w:val="22"/>
          <w:szCs w:val="22"/>
        </w:rPr>
        <w:t xml:space="preserve">; </w:t>
      </w:r>
      <w:r>
        <w:rPr>
          <w:rFonts w:ascii="Arial" w:hAnsi="Arial" w:cs="Arial"/>
          <w:color w:val="000000"/>
          <w:sz w:val="22"/>
          <w:szCs w:val="22"/>
        </w:rPr>
        <w:t>AQP1,</w:t>
      </w:r>
      <w:r w:rsidRPr="00697B88">
        <w:rPr>
          <w:rFonts w:ascii="Arial" w:eastAsia="Times New Roman" w:hAnsi="Arial" w:cs="Arial"/>
          <w:sz w:val="22"/>
          <w:szCs w:val="22"/>
        </w:rPr>
        <w:t xml:space="preserve"> </w:t>
      </w:r>
      <w:r>
        <w:rPr>
          <w:rFonts w:ascii="Arial" w:eastAsia="Times New Roman" w:hAnsi="Arial" w:cs="Arial"/>
          <w:sz w:val="22"/>
          <w:szCs w:val="22"/>
        </w:rPr>
        <w:t>aquaporin-1.</w:t>
      </w:r>
    </w:p>
    <w:p w14:paraId="0E3E9CFF" w14:textId="1319A64D" w:rsidR="0066147D" w:rsidRDefault="0066147D" w:rsidP="00697B88">
      <w:pPr>
        <w:tabs>
          <w:tab w:val="left" w:pos="1890"/>
        </w:tabs>
        <w:spacing w:line="276" w:lineRule="auto"/>
        <w:jc w:val="both"/>
        <w:rPr>
          <w:rFonts w:ascii="Arial" w:hAnsi="Arial" w:cs="Arial"/>
          <w:sz w:val="22"/>
          <w:szCs w:val="22"/>
        </w:rPr>
      </w:pPr>
    </w:p>
    <w:p w14:paraId="5A0DA346" w14:textId="7AF34170" w:rsidR="0066147D" w:rsidRDefault="0066147D" w:rsidP="00697B88">
      <w:pPr>
        <w:tabs>
          <w:tab w:val="left" w:pos="1890"/>
        </w:tabs>
        <w:spacing w:line="276" w:lineRule="auto"/>
        <w:jc w:val="both"/>
        <w:rPr>
          <w:rFonts w:ascii="Arial" w:hAnsi="Arial" w:cs="Arial"/>
          <w:sz w:val="22"/>
          <w:szCs w:val="22"/>
        </w:rPr>
      </w:pPr>
    </w:p>
    <w:p w14:paraId="61225002" w14:textId="7C645356" w:rsidR="00E0523F" w:rsidRDefault="00E0523F" w:rsidP="00697B88">
      <w:pPr>
        <w:tabs>
          <w:tab w:val="left" w:pos="1890"/>
        </w:tabs>
        <w:spacing w:line="276" w:lineRule="auto"/>
        <w:jc w:val="both"/>
        <w:rPr>
          <w:rFonts w:ascii="Arial" w:hAnsi="Arial" w:cs="Arial"/>
          <w:sz w:val="22"/>
          <w:szCs w:val="22"/>
        </w:rPr>
      </w:pPr>
    </w:p>
    <w:p w14:paraId="2FDDF8B0" w14:textId="719A47E2" w:rsidR="00E0523F" w:rsidRDefault="00E0523F" w:rsidP="00697B88">
      <w:pPr>
        <w:tabs>
          <w:tab w:val="left" w:pos="1890"/>
        </w:tabs>
        <w:spacing w:line="276" w:lineRule="auto"/>
        <w:jc w:val="both"/>
        <w:rPr>
          <w:rFonts w:ascii="Arial" w:hAnsi="Arial" w:cs="Arial"/>
          <w:sz w:val="22"/>
          <w:szCs w:val="22"/>
        </w:rPr>
      </w:pPr>
    </w:p>
    <w:p w14:paraId="46C4A209" w14:textId="12E4FA7C" w:rsidR="00E0523F" w:rsidRDefault="00E0523F" w:rsidP="00697B88">
      <w:pPr>
        <w:tabs>
          <w:tab w:val="left" w:pos="1890"/>
        </w:tabs>
        <w:spacing w:line="276" w:lineRule="auto"/>
        <w:jc w:val="both"/>
        <w:rPr>
          <w:rFonts w:ascii="Arial" w:hAnsi="Arial" w:cs="Arial"/>
          <w:sz w:val="22"/>
          <w:szCs w:val="22"/>
        </w:rPr>
      </w:pPr>
    </w:p>
    <w:p w14:paraId="756A102E" w14:textId="77777777" w:rsidR="00E0523F" w:rsidRDefault="00E0523F" w:rsidP="00697B88">
      <w:pPr>
        <w:tabs>
          <w:tab w:val="left" w:pos="1890"/>
        </w:tabs>
        <w:spacing w:line="276" w:lineRule="auto"/>
        <w:jc w:val="both"/>
        <w:rPr>
          <w:rFonts w:ascii="Arial" w:hAnsi="Arial" w:cs="Arial"/>
          <w:sz w:val="22"/>
          <w:szCs w:val="22"/>
        </w:rPr>
      </w:pPr>
    </w:p>
    <w:p w14:paraId="25C5B177" w14:textId="00FBAA34" w:rsidR="00E0523F" w:rsidRDefault="00E0523F" w:rsidP="00697B88">
      <w:pPr>
        <w:tabs>
          <w:tab w:val="left" w:pos="1890"/>
        </w:tabs>
        <w:spacing w:line="276" w:lineRule="auto"/>
        <w:jc w:val="both"/>
        <w:rPr>
          <w:rFonts w:ascii="Arial" w:hAnsi="Arial" w:cs="Arial"/>
          <w:sz w:val="22"/>
          <w:szCs w:val="22"/>
        </w:rPr>
      </w:pPr>
    </w:p>
    <w:p w14:paraId="51BD392C" w14:textId="77777777" w:rsidR="00E0523F" w:rsidRDefault="00E0523F" w:rsidP="00697B88">
      <w:pPr>
        <w:tabs>
          <w:tab w:val="left" w:pos="1890"/>
        </w:tabs>
        <w:spacing w:line="276" w:lineRule="auto"/>
        <w:jc w:val="both"/>
        <w:rPr>
          <w:rFonts w:ascii="Arial" w:hAnsi="Arial" w:cs="Arial"/>
          <w:sz w:val="22"/>
          <w:szCs w:val="22"/>
        </w:rPr>
      </w:pPr>
    </w:p>
    <w:p w14:paraId="2B67FA7E" w14:textId="4F018B2D" w:rsidR="00E0523F" w:rsidRDefault="00E0523F" w:rsidP="00697B88">
      <w:pPr>
        <w:tabs>
          <w:tab w:val="left" w:pos="1890"/>
        </w:tabs>
        <w:spacing w:line="276" w:lineRule="auto"/>
        <w:jc w:val="both"/>
        <w:rPr>
          <w:rFonts w:ascii="Arial" w:hAnsi="Arial" w:cs="Arial"/>
          <w:sz w:val="22"/>
          <w:szCs w:val="22"/>
        </w:rPr>
      </w:pPr>
    </w:p>
    <w:p w14:paraId="094525EA" w14:textId="77777777" w:rsidR="00E0523F" w:rsidRDefault="00E0523F" w:rsidP="00697B88">
      <w:pPr>
        <w:tabs>
          <w:tab w:val="left" w:pos="1890"/>
        </w:tabs>
        <w:spacing w:line="276" w:lineRule="auto"/>
        <w:jc w:val="both"/>
        <w:rPr>
          <w:rFonts w:ascii="Arial" w:hAnsi="Arial" w:cs="Arial"/>
          <w:sz w:val="22"/>
          <w:szCs w:val="22"/>
        </w:rPr>
      </w:pPr>
    </w:p>
    <w:p w14:paraId="628916BF" w14:textId="27400B7E" w:rsidR="00E0523F" w:rsidRDefault="00E0523F" w:rsidP="00697B88">
      <w:pPr>
        <w:tabs>
          <w:tab w:val="left" w:pos="1890"/>
        </w:tabs>
        <w:spacing w:line="276" w:lineRule="auto"/>
        <w:jc w:val="both"/>
        <w:rPr>
          <w:rFonts w:ascii="Arial" w:hAnsi="Arial" w:cs="Arial"/>
          <w:sz w:val="22"/>
          <w:szCs w:val="22"/>
        </w:rPr>
      </w:pPr>
      <w:r>
        <w:rPr>
          <w:rFonts w:ascii="Arial" w:hAnsi="Arial" w:cs="Arial"/>
          <w:sz w:val="22"/>
          <w:szCs w:val="22"/>
        </w:rPr>
        <w:lastRenderedPageBreak/>
        <w:t xml:space="preserve">                         </w:t>
      </w:r>
      <w:r w:rsidRPr="00003C73">
        <w:rPr>
          <w:rFonts w:cstheme="minorHAnsi"/>
          <w:noProof/>
          <w:color w:val="FF0000"/>
          <w:shd w:val="clear" w:color="auto" w:fill="FFFFFF"/>
        </w:rPr>
        <w:drawing>
          <wp:inline distT="0" distB="0" distL="0" distR="0" wp14:anchorId="1F446F00" wp14:editId="266885E2">
            <wp:extent cx="4270443" cy="247766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96026" cy="2492505"/>
                    </a:xfrm>
                    <a:prstGeom prst="rect">
                      <a:avLst/>
                    </a:prstGeom>
                  </pic:spPr>
                </pic:pic>
              </a:graphicData>
            </a:graphic>
          </wp:inline>
        </w:drawing>
      </w:r>
    </w:p>
    <w:p w14:paraId="6099A517" w14:textId="77777777" w:rsidR="00E0523F" w:rsidRPr="00E0523F" w:rsidRDefault="00E0523F" w:rsidP="00E0523F">
      <w:pPr>
        <w:spacing w:line="276" w:lineRule="auto"/>
        <w:jc w:val="both"/>
        <w:rPr>
          <w:rFonts w:ascii="Arial" w:hAnsi="Arial" w:cs="Arial"/>
          <w:color w:val="000000" w:themeColor="text1"/>
          <w:sz w:val="22"/>
          <w:szCs w:val="22"/>
        </w:rPr>
      </w:pPr>
    </w:p>
    <w:p w14:paraId="3127A77D" w14:textId="17ACF0AC" w:rsidR="00E0523F" w:rsidRPr="00E0523F" w:rsidRDefault="00E0523F" w:rsidP="00E0523F">
      <w:pPr>
        <w:spacing w:line="276" w:lineRule="auto"/>
        <w:jc w:val="both"/>
        <w:rPr>
          <w:rFonts w:ascii="Arial" w:hAnsi="Arial" w:cs="Arial"/>
          <w:color w:val="000000" w:themeColor="text1"/>
          <w:sz w:val="22"/>
          <w:szCs w:val="22"/>
          <w:shd w:val="clear" w:color="auto" w:fill="FFFFFF"/>
        </w:rPr>
      </w:pPr>
      <w:r w:rsidRPr="00E0523F">
        <w:rPr>
          <w:rFonts w:ascii="Arial" w:hAnsi="Arial" w:cs="Arial"/>
          <w:color w:val="000000" w:themeColor="text1"/>
          <w:sz w:val="22"/>
          <w:szCs w:val="22"/>
        </w:rPr>
        <w:t>Figure S10. Urinary abundance of heat shock proteins (HSPs) in CKDu patients and non-CKDu controls. Log transformed protein abundance of the HSPs. Differences between the patients and controls were compared using multiple unpaired t-tests with Welch’s correction. A Benjamini-Hochberg false discovery rate (FDR) threshold of q &lt; 0.05 was set. **p &lt; 0.005, ***p &lt; 0.0005. CH60 , 60 kDa HSP; HS71A or B, heat shock 70 kDa protein 1A or 1B; HS90A, HSP 90-</w:t>
      </w:r>
      <w:r w:rsidRPr="00E0523F">
        <w:rPr>
          <w:rFonts w:ascii="Arial" w:hAnsi="Arial" w:cs="Arial"/>
          <w:color w:val="000000" w:themeColor="text1"/>
          <w:sz w:val="22"/>
          <w:szCs w:val="22"/>
        </w:rPr>
        <w:sym w:font="Symbol" w:char="F061"/>
      </w:r>
      <w:r w:rsidRPr="00E0523F">
        <w:rPr>
          <w:rFonts w:ascii="Arial" w:hAnsi="Arial" w:cs="Arial"/>
          <w:color w:val="000000" w:themeColor="text1"/>
          <w:sz w:val="22"/>
          <w:szCs w:val="22"/>
        </w:rPr>
        <w:t>; HS90B, HSP 90-</w:t>
      </w:r>
      <w:r w:rsidRPr="00E0523F">
        <w:rPr>
          <w:rFonts w:ascii="Arial" w:hAnsi="Arial" w:cs="Arial"/>
          <w:color w:val="000000" w:themeColor="text1"/>
          <w:sz w:val="22"/>
          <w:szCs w:val="22"/>
        </w:rPr>
        <w:sym w:font="Symbol" w:char="F062"/>
      </w:r>
      <w:r w:rsidRPr="00E0523F">
        <w:rPr>
          <w:rFonts w:ascii="Arial" w:hAnsi="Arial" w:cs="Arial"/>
          <w:color w:val="000000" w:themeColor="text1"/>
          <w:sz w:val="22"/>
          <w:szCs w:val="22"/>
        </w:rPr>
        <w:t xml:space="preserve">; HSP72, HSP 70 kDa protein 2; HSP 7C, heat shock cognate 71 kDa protein; HSPB1, HSP </w:t>
      </w:r>
      <w:r w:rsidRPr="00E0523F">
        <w:rPr>
          <w:rFonts w:ascii="Arial" w:hAnsi="Arial" w:cs="Arial"/>
          <w:color w:val="000000" w:themeColor="text1"/>
          <w:sz w:val="22"/>
          <w:szCs w:val="22"/>
        </w:rPr>
        <w:sym w:font="Symbol" w:char="F062"/>
      </w:r>
      <w:r w:rsidRPr="00E0523F">
        <w:rPr>
          <w:rFonts w:ascii="Arial" w:hAnsi="Arial" w:cs="Arial"/>
          <w:color w:val="000000" w:themeColor="text1"/>
          <w:sz w:val="22"/>
          <w:szCs w:val="22"/>
        </w:rPr>
        <w:t>-1.</w:t>
      </w:r>
    </w:p>
    <w:p w14:paraId="010D0925" w14:textId="77777777" w:rsidR="00E0523F" w:rsidRPr="00E0523F" w:rsidRDefault="00E0523F" w:rsidP="00697B88">
      <w:pPr>
        <w:tabs>
          <w:tab w:val="left" w:pos="1890"/>
        </w:tabs>
        <w:spacing w:line="276" w:lineRule="auto"/>
        <w:jc w:val="both"/>
        <w:rPr>
          <w:rFonts w:ascii="Arial" w:hAnsi="Arial" w:cs="Arial"/>
          <w:sz w:val="22"/>
          <w:szCs w:val="22"/>
        </w:rPr>
      </w:pPr>
    </w:p>
    <w:tbl>
      <w:tblPr>
        <w:tblpPr w:leftFromText="180" w:rightFromText="180" w:horzAnchor="margin" w:tblpY="720"/>
        <w:tblW w:w="8940" w:type="dxa"/>
        <w:tblLook w:val="04A0" w:firstRow="1" w:lastRow="0" w:firstColumn="1" w:lastColumn="0" w:noHBand="0" w:noVBand="1"/>
      </w:tblPr>
      <w:tblGrid>
        <w:gridCol w:w="1300"/>
        <w:gridCol w:w="1300"/>
        <w:gridCol w:w="3740"/>
        <w:gridCol w:w="1300"/>
        <w:gridCol w:w="1300"/>
      </w:tblGrid>
      <w:tr w:rsidR="00CC20C0" w:rsidRPr="00AA4759" w14:paraId="5534D0E0" w14:textId="77777777" w:rsidTr="0070135C">
        <w:trPr>
          <w:trHeight w:val="880"/>
        </w:trPr>
        <w:tc>
          <w:tcPr>
            <w:tcW w:w="1300" w:type="dxa"/>
            <w:tcBorders>
              <w:top w:val="single" w:sz="8" w:space="0" w:color="auto"/>
              <w:left w:val="nil"/>
              <w:bottom w:val="single" w:sz="8" w:space="0" w:color="auto"/>
              <w:right w:val="nil"/>
            </w:tcBorders>
            <w:shd w:val="clear" w:color="auto" w:fill="auto"/>
            <w:vAlign w:val="center"/>
            <w:hideMark/>
          </w:tcPr>
          <w:p w14:paraId="3C861A24"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lastRenderedPageBreak/>
              <w:t>Protein name</w:t>
            </w:r>
          </w:p>
        </w:tc>
        <w:tc>
          <w:tcPr>
            <w:tcW w:w="1300" w:type="dxa"/>
            <w:tcBorders>
              <w:top w:val="single" w:sz="8" w:space="0" w:color="auto"/>
              <w:left w:val="nil"/>
              <w:bottom w:val="single" w:sz="8" w:space="0" w:color="auto"/>
              <w:right w:val="nil"/>
            </w:tcBorders>
            <w:shd w:val="clear" w:color="auto" w:fill="auto"/>
            <w:vAlign w:val="center"/>
            <w:hideMark/>
          </w:tcPr>
          <w:p w14:paraId="7FA59D8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Protein Accession</w:t>
            </w:r>
          </w:p>
        </w:tc>
        <w:tc>
          <w:tcPr>
            <w:tcW w:w="3740" w:type="dxa"/>
            <w:tcBorders>
              <w:top w:val="single" w:sz="8" w:space="0" w:color="auto"/>
              <w:left w:val="nil"/>
              <w:bottom w:val="single" w:sz="8" w:space="0" w:color="auto"/>
              <w:right w:val="nil"/>
            </w:tcBorders>
            <w:shd w:val="clear" w:color="auto" w:fill="auto"/>
            <w:vAlign w:val="center"/>
            <w:hideMark/>
          </w:tcPr>
          <w:p w14:paraId="0F987A8B"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Protein Description</w:t>
            </w:r>
          </w:p>
        </w:tc>
        <w:tc>
          <w:tcPr>
            <w:tcW w:w="1300" w:type="dxa"/>
            <w:tcBorders>
              <w:top w:val="single" w:sz="8" w:space="0" w:color="auto"/>
              <w:left w:val="nil"/>
              <w:bottom w:val="single" w:sz="8" w:space="0" w:color="auto"/>
              <w:right w:val="nil"/>
            </w:tcBorders>
            <w:shd w:val="clear" w:color="auto" w:fill="auto"/>
            <w:vAlign w:val="center"/>
            <w:hideMark/>
          </w:tcPr>
          <w:p w14:paraId="67A1D2C7"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Abundance in CKDu</w:t>
            </w:r>
          </w:p>
        </w:tc>
        <w:tc>
          <w:tcPr>
            <w:tcW w:w="1300" w:type="dxa"/>
            <w:tcBorders>
              <w:top w:val="single" w:sz="8" w:space="0" w:color="auto"/>
              <w:left w:val="nil"/>
              <w:bottom w:val="single" w:sz="8" w:space="0" w:color="auto"/>
              <w:right w:val="nil"/>
            </w:tcBorders>
            <w:shd w:val="clear" w:color="auto" w:fill="auto"/>
            <w:vAlign w:val="center"/>
            <w:hideMark/>
          </w:tcPr>
          <w:p w14:paraId="4620038B"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Abundance in CKD or DKD</w:t>
            </w:r>
          </w:p>
        </w:tc>
      </w:tr>
      <w:tr w:rsidR="00CC20C0" w:rsidRPr="00AA4759" w14:paraId="53069936" w14:textId="77777777" w:rsidTr="0070135C">
        <w:trPr>
          <w:trHeight w:val="580"/>
        </w:trPr>
        <w:tc>
          <w:tcPr>
            <w:tcW w:w="1300" w:type="dxa"/>
            <w:tcBorders>
              <w:top w:val="nil"/>
              <w:left w:val="nil"/>
              <w:bottom w:val="nil"/>
              <w:right w:val="nil"/>
            </w:tcBorders>
            <w:shd w:val="clear" w:color="auto" w:fill="auto"/>
            <w:noWrap/>
            <w:vAlign w:val="center"/>
            <w:hideMark/>
          </w:tcPr>
          <w:p w14:paraId="663DF1F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OSTP</w:t>
            </w:r>
          </w:p>
        </w:tc>
        <w:tc>
          <w:tcPr>
            <w:tcW w:w="1300" w:type="dxa"/>
            <w:tcBorders>
              <w:top w:val="nil"/>
              <w:left w:val="nil"/>
              <w:bottom w:val="nil"/>
              <w:right w:val="nil"/>
            </w:tcBorders>
            <w:shd w:val="clear" w:color="auto" w:fill="auto"/>
            <w:noWrap/>
            <w:vAlign w:val="center"/>
            <w:hideMark/>
          </w:tcPr>
          <w:p w14:paraId="7179AE8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P10451</w:t>
            </w:r>
          </w:p>
        </w:tc>
        <w:tc>
          <w:tcPr>
            <w:tcW w:w="3740" w:type="dxa"/>
            <w:tcBorders>
              <w:top w:val="nil"/>
              <w:left w:val="nil"/>
              <w:bottom w:val="nil"/>
              <w:right w:val="nil"/>
            </w:tcBorders>
            <w:shd w:val="clear" w:color="auto" w:fill="auto"/>
            <w:noWrap/>
            <w:vAlign w:val="center"/>
            <w:hideMark/>
          </w:tcPr>
          <w:p w14:paraId="642A858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Osteopontin</w:t>
            </w:r>
          </w:p>
        </w:tc>
        <w:tc>
          <w:tcPr>
            <w:tcW w:w="1300" w:type="dxa"/>
            <w:tcBorders>
              <w:top w:val="nil"/>
              <w:left w:val="nil"/>
              <w:bottom w:val="nil"/>
              <w:right w:val="nil"/>
            </w:tcBorders>
            <w:shd w:val="clear" w:color="auto" w:fill="auto"/>
            <w:vAlign w:val="center"/>
            <w:hideMark/>
          </w:tcPr>
          <w:p w14:paraId="4E5092E2"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 than control</w:t>
            </w:r>
          </w:p>
        </w:tc>
        <w:tc>
          <w:tcPr>
            <w:tcW w:w="1300" w:type="dxa"/>
            <w:tcBorders>
              <w:top w:val="nil"/>
              <w:left w:val="nil"/>
              <w:bottom w:val="nil"/>
              <w:right w:val="nil"/>
            </w:tcBorders>
            <w:shd w:val="clear" w:color="auto" w:fill="auto"/>
            <w:vAlign w:val="center"/>
            <w:hideMark/>
          </w:tcPr>
          <w:p w14:paraId="041FCCF6" w14:textId="0D1FE749"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than control </w:t>
            </w:r>
            <w:r w:rsidR="005A769C">
              <w:rPr>
                <w:rFonts w:ascii="Calibri" w:eastAsia="Times New Roman" w:hAnsi="Calibri" w:cs="Calibri"/>
                <w:color w:val="000000"/>
                <w:sz w:val="22"/>
                <w:szCs w:val="22"/>
              </w:rPr>
              <w:fldChar w:fldCharType="begin">
                <w:fldData xml:space="preserve">PEVuZE5vdGU+PENpdGU+PEF1dGhvcj5GZWxkcmVpY2g8L0F1dGhvcj48WWVhcj4yMDE3PC9ZZWFy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PEVuZE5vdGU+PENpdGU+PEF1dGhvcj5GZWxkcmVpY2g8L0F1dGhvcj48WWVhcj4yMDE3PC9ZZWFy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1" w:tooltip="Feldreich, 2017 #124" w:history="1">
              <w:r w:rsidR="005A769C">
                <w:rPr>
                  <w:rFonts w:ascii="Calibri" w:eastAsia="Times New Roman" w:hAnsi="Calibri" w:cs="Calibri"/>
                  <w:noProof/>
                  <w:color w:val="000000"/>
                  <w:sz w:val="22"/>
                  <w:szCs w:val="22"/>
                </w:rPr>
                <w:t>1</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8E4C0E0" w14:textId="77777777" w:rsidTr="0070135C">
        <w:trPr>
          <w:trHeight w:val="320"/>
        </w:trPr>
        <w:tc>
          <w:tcPr>
            <w:tcW w:w="1300" w:type="dxa"/>
            <w:tcBorders>
              <w:top w:val="nil"/>
              <w:left w:val="nil"/>
              <w:bottom w:val="nil"/>
              <w:right w:val="nil"/>
            </w:tcBorders>
            <w:shd w:val="clear" w:color="auto" w:fill="auto"/>
            <w:noWrap/>
            <w:vAlign w:val="center"/>
            <w:hideMark/>
          </w:tcPr>
          <w:p w14:paraId="3F308E06"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AQP1</w:t>
            </w:r>
          </w:p>
        </w:tc>
        <w:tc>
          <w:tcPr>
            <w:tcW w:w="1300" w:type="dxa"/>
            <w:tcBorders>
              <w:top w:val="nil"/>
              <w:left w:val="nil"/>
              <w:bottom w:val="nil"/>
              <w:right w:val="nil"/>
            </w:tcBorders>
            <w:shd w:val="clear" w:color="auto" w:fill="auto"/>
            <w:noWrap/>
            <w:vAlign w:val="center"/>
            <w:hideMark/>
          </w:tcPr>
          <w:p w14:paraId="44C55B1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P29972</w:t>
            </w:r>
          </w:p>
        </w:tc>
        <w:tc>
          <w:tcPr>
            <w:tcW w:w="3740" w:type="dxa"/>
            <w:tcBorders>
              <w:top w:val="nil"/>
              <w:left w:val="nil"/>
              <w:bottom w:val="nil"/>
              <w:right w:val="nil"/>
            </w:tcBorders>
            <w:shd w:val="clear" w:color="auto" w:fill="auto"/>
            <w:noWrap/>
            <w:vAlign w:val="center"/>
            <w:hideMark/>
          </w:tcPr>
          <w:p w14:paraId="624546B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Aquaporin-1</w:t>
            </w:r>
          </w:p>
        </w:tc>
        <w:tc>
          <w:tcPr>
            <w:tcW w:w="1300" w:type="dxa"/>
            <w:tcBorders>
              <w:top w:val="nil"/>
              <w:left w:val="nil"/>
              <w:bottom w:val="nil"/>
              <w:right w:val="nil"/>
            </w:tcBorders>
            <w:shd w:val="clear" w:color="auto" w:fill="auto"/>
            <w:noWrap/>
            <w:vAlign w:val="center"/>
            <w:hideMark/>
          </w:tcPr>
          <w:p w14:paraId="16B5E85E"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5BA01F7C" w14:textId="63F547AC"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PEVuZE5vdGU+PENpdGU+PEF1dGhvcj5Sb3NzaTwvQXV0aG9yPjxZZWFyPjIwMTc8L1llYXI+PFJl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=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PEVuZE5vdGU+PENpdGU+PEF1dGhvcj5Sb3NzaTwvQXV0aG9yPjxZZWFyPjIwMTc8L1llYXI+PFJl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=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2" w:tooltip="Rossi, 2017 #123" w:history="1">
              <w:r w:rsidR="005A769C">
                <w:rPr>
                  <w:rFonts w:ascii="Calibri" w:eastAsia="Times New Roman" w:hAnsi="Calibri" w:cs="Calibri"/>
                  <w:noProof/>
                  <w:color w:val="000000"/>
                  <w:sz w:val="22"/>
                  <w:szCs w:val="22"/>
                </w:rPr>
                <w:t>2</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75224681" w14:textId="77777777" w:rsidTr="0070135C">
        <w:trPr>
          <w:trHeight w:val="320"/>
        </w:trPr>
        <w:tc>
          <w:tcPr>
            <w:tcW w:w="1300" w:type="dxa"/>
            <w:tcBorders>
              <w:top w:val="nil"/>
              <w:left w:val="nil"/>
              <w:bottom w:val="nil"/>
              <w:right w:val="nil"/>
            </w:tcBorders>
            <w:shd w:val="clear" w:color="auto" w:fill="auto"/>
            <w:noWrap/>
            <w:vAlign w:val="center"/>
            <w:hideMark/>
          </w:tcPr>
          <w:p w14:paraId="6AC80945"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AQP2</w:t>
            </w:r>
          </w:p>
        </w:tc>
        <w:tc>
          <w:tcPr>
            <w:tcW w:w="1300" w:type="dxa"/>
            <w:tcBorders>
              <w:top w:val="nil"/>
              <w:left w:val="nil"/>
              <w:bottom w:val="nil"/>
              <w:right w:val="nil"/>
            </w:tcBorders>
            <w:shd w:val="clear" w:color="auto" w:fill="auto"/>
            <w:noWrap/>
            <w:vAlign w:val="center"/>
            <w:hideMark/>
          </w:tcPr>
          <w:p w14:paraId="1718893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P41181</w:t>
            </w:r>
          </w:p>
        </w:tc>
        <w:tc>
          <w:tcPr>
            <w:tcW w:w="3740" w:type="dxa"/>
            <w:tcBorders>
              <w:top w:val="nil"/>
              <w:left w:val="nil"/>
              <w:bottom w:val="nil"/>
              <w:right w:val="nil"/>
            </w:tcBorders>
            <w:shd w:val="clear" w:color="auto" w:fill="auto"/>
            <w:noWrap/>
            <w:vAlign w:val="center"/>
            <w:hideMark/>
          </w:tcPr>
          <w:p w14:paraId="2355B5AA"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Aquaporin-2</w:t>
            </w:r>
          </w:p>
        </w:tc>
        <w:tc>
          <w:tcPr>
            <w:tcW w:w="1300" w:type="dxa"/>
            <w:tcBorders>
              <w:top w:val="nil"/>
              <w:left w:val="nil"/>
              <w:bottom w:val="nil"/>
              <w:right w:val="nil"/>
            </w:tcBorders>
            <w:shd w:val="clear" w:color="auto" w:fill="auto"/>
            <w:noWrap/>
            <w:vAlign w:val="center"/>
            <w:hideMark/>
          </w:tcPr>
          <w:p w14:paraId="2A26FFB2"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352C0756" w14:textId="7337CF6A"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PEVuZE5vdGU+PENpdGU+PEF1dGhvcj5Sb3NzaTwvQXV0aG9yPjxZZWFyPjIwMTc8L1llYXI+PFJl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=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PEVuZE5vdGU+PENpdGU+PEF1dGhvcj5Sb3NzaTwvQXV0aG9yPjxZZWFyPjIwMTc8L1llYXI+PFJl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=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2" w:tooltip="Rossi, 2017 #123" w:history="1">
              <w:r w:rsidR="005A769C">
                <w:rPr>
                  <w:rFonts w:ascii="Calibri" w:eastAsia="Times New Roman" w:hAnsi="Calibri" w:cs="Calibri"/>
                  <w:noProof/>
                  <w:color w:val="000000"/>
                  <w:sz w:val="22"/>
                  <w:szCs w:val="22"/>
                </w:rPr>
                <w:t>2</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13933693" w14:textId="77777777" w:rsidTr="0070135C">
        <w:trPr>
          <w:trHeight w:val="320"/>
        </w:trPr>
        <w:tc>
          <w:tcPr>
            <w:tcW w:w="1300" w:type="dxa"/>
            <w:tcBorders>
              <w:top w:val="nil"/>
              <w:left w:val="nil"/>
              <w:bottom w:val="nil"/>
              <w:right w:val="nil"/>
            </w:tcBorders>
            <w:shd w:val="clear" w:color="auto" w:fill="auto"/>
            <w:noWrap/>
            <w:vAlign w:val="center"/>
            <w:hideMark/>
          </w:tcPr>
          <w:p w14:paraId="3EF7C204"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ANAG</w:t>
            </w:r>
          </w:p>
        </w:tc>
        <w:tc>
          <w:tcPr>
            <w:tcW w:w="1300" w:type="dxa"/>
            <w:tcBorders>
              <w:top w:val="nil"/>
              <w:left w:val="nil"/>
              <w:bottom w:val="nil"/>
              <w:right w:val="nil"/>
            </w:tcBorders>
            <w:shd w:val="clear" w:color="auto" w:fill="auto"/>
            <w:noWrap/>
            <w:vAlign w:val="center"/>
            <w:hideMark/>
          </w:tcPr>
          <w:p w14:paraId="41DAF6BC"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P54802</w:t>
            </w:r>
          </w:p>
        </w:tc>
        <w:tc>
          <w:tcPr>
            <w:tcW w:w="3740" w:type="dxa"/>
            <w:tcBorders>
              <w:top w:val="nil"/>
              <w:left w:val="nil"/>
              <w:bottom w:val="nil"/>
              <w:right w:val="nil"/>
            </w:tcBorders>
            <w:shd w:val="clear" w:color="auto" w:fill="auto"/>
            <w:noWrap/>
            <w:vAlign w:val="center"/>
            <w:hideMark/>
          </w:tcPr>
          <w:p w14:paraId="083857A0"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Alpha-N-acetylglucosaminidase</w:t>
            </w:r>
          </w:p>
        </w:tc>
        <w:tc>
          <w:tcPr>
            <w:tcW w:w="1300" w:type="dxa"/>
            <w:tcBorders>
              <w:top w:val="nil"/>
              <w:left w:val="nil"/>
              <w:bottom w:val="nil"/>
              <w:right w:val="nil"/>
            </w:tcBorders>
            <w:shd w:val="clear" w:color="auto" w:fill="auto"/>
            <w:noWrap/>
            <w:vAlign w:val="center"/>
            <w:hideMark/>
          </w:tcPr>
          <w:p w14:paraId="748659FB"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6136EF9D" w14:textId="5471C762"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PEVuZE5vdGU+PENpdGU+PEF1dGhvcj5TaWRkaXF1aTwvQXV0aG9yPjxZZWFyPjIwMTk8L1llYXI+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PEVuZE5vdGU+PENpdGU+PEF1dGhvcj5TaWRkaXF1aTwvQXV0aG9yPjxZZWFyPjIwMTk8L1llYXI+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3" w:tooltip="Siddiqui, 2019 #103" w:history="1">
              <w:r w:rsidR="005A769C">
                <w:rPr>
                  <w:rFonts w:ascii="Calibri" w:eastAsia="Times New Roman" w:hAnsi="Calibri" w:cs="Calibri"/>
                  <w:noProof/>
                  <w:color w:val="000000"/>
                  <w:sz w:val="22"/>
                  <w:szCs w:val="22"/>
                </w:rPr>
                <w:t>3</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71A6FE8D" w14:textId="77777777" w:rsidTr="0070135C">
        <w:trPr>
          <w:trHeight w:val="320"/>
        </w:trPr>
        <w:tc>
          <w:tcPr>
            <w:tcW w:w="1300" w:type="dxa"/>
            <w:tcBorders>
              <w:top w:val="nil"/>
              <w:left w:val="nil"/>
              <w:bottom w:val="nil"/>
              <w:right w:val="nil"/>
            </w:tcBorders>
            <w:shd w:val="clear" w:color="auto" w:fill="auto"/>
            <w:noWrap/>
            <w:vAlign w:val="center"/>
            <w:hideMark/>
          </w:tcPr>
          <w:p w14:paraId="11A16565"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C1S</w:t>
            </w:r>
          </w:p>
        </w:tc>
        <w:tc>
          <w:tcPr>
            <w:tcW w:w="1300" w:type="dxa"/>
            <w:tcBorders>
              <w:top w:val="nil"/>
              <w:left w:val="nil"/>
              <w:bottom w:val="nil"/>
              <w:right w:val="nil"/>
            </w:tcBorders>
            <w:shd w:val="clear" w:color="auto" w:fill="auto"/>
            <w:noWrap/>
            <w:vAlign w:val="center"/>
            <w:hideMark/>
          </w:tcPr>
          <w:p w14:paraId="77BB8BC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P09871</w:t>
            </w:r>
          </w:p>
        </w:tc>
        <w:tc>
          <w:tcPr>
            <w:tcW w:w="3740" w:type="dxa"/>
            <w:tcBorders>
              <w:top w:val="nil"/>
              <w:left w:val="nil"/>
              <w:bottom w:val="nil"/>
              <w:right w:val="nil"/>
            </w:tcBorders>
            <w:shd w:val="clear" w:color="auto" w:fill="auto"/>
            <w:noWrap/>
            <w:vAlign w:val="center"/>
            <w:hideMark/>
          </w:tcPr>
          <w:p w14:paraId="70EF8646"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Complement C1s subcomponent</w:t>
            </w:r>
          </w:p>
        </w:tc>
        <w:tc>
          <w:tcPr>
            <w:tcW w:w="1300" w:type="dxa"/>
            <w:tcBorders>
              <w:top w:val="nil"/>
              <w:left w:val="nil"/>
              <w:bottom w:val="nil"/>
              <w:right w:val="nil"/>
            </w:tcBorders>
            <w:shd w:val="clear" w:color="auto" w:fill="auto"/>
            <w:noWrap/>
            <w:vAlign w:val="center"/>
            <w:hideMark/>
          </w:tcPr>
          <w:p w14:paraId="2FFF11DC"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675CE416" w14:textId="74E31F9D"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4" w:tooltip="Zhao, 2021 #48" w:history="1">
              <w:r w:rsidR="005A769C">
                <w:rPr>
                  <w:rFonts w:ascii="Calibri" w:eastAsia="Times New Roman" w:hAnsi="Calibri" w:cs="Calibri"/>
                  <w:noProof/>
                  <w:color w:val="000000"/>
                  <w:sz w:val="22"/>
                  <w:szCs w:val="22"/>
                </w:rPr>
                <w:t>4</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48839F25" w14:textId="77777777" w:rsidTr="0070135C">
        <w:trPr>
          <w:trHeight w:val="320"/>
        </w:trPr>
        <w:tc>
          <w:tcPr>
            <w:tcW w:w="1300" w:type="dxa"/>
            <w:tcBorders>
              <w:top w:val="nil"/>
              <w:left w:val="nil"/>
              <w:bottom w:val="nil"/>
              <w:right w:val="nil"/>
            </w:tcBorders>
            <w:shd w:val="clear" w:color="auto" w:fill="auto"/>
            <w:noWrap/>
            <w:vAlign w:val="center"/>
            <w:hideMark/>
          </w:tcPr>
          <w:p w14:paraId="2E8049E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CO4A</w:t>
            </w:r>
          </w:p>
        </w:tc>
        <w:tc>
          <w:tcPr>
            <w:tcW w:w="1300" w:type="dxa"/>
            <w:tcBorders>
              <w:top w:val="nil"/>
              <w:left w:val="nil"/>
              <w:bottom w:val="nil"/>
              <w:right w:val="nil"/>
            </w:tcBorders>
            <w:shd w:val="clear" w:color="auto" w:fill="auto"/>
            <w:noWrap/>
            <w:vAlign w:val="center"/>
            <w:hideMark/>
          </w:tcPr>
          <w:p w14:paraId="0AA0054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P0C0L4</w:t>
            </w:r>
          </w:p>
        </w:tc>
        <w:tc>
          <w:tcPr>
            <w:tcW w:w="3740" w:type="dxa"/>
            <w:tcBorders>
              <w:top w:val="nil"/>
              <w:left w:val="nil"/>
              <w:bottom w:val="nil"/>
              <w:right w:val="nil"/>
            </w:tcBorders>
            <w:shd w:val="clear" w:color="auto" w:fill="auto"/>
            <w:noWrap/>
            <w:vAlign w:val="center"/>
            <w:hideMark/>
          </w:tcPr>
          <w:p w14:paraId="37F8216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Complement C4-A</w:t>
            </w:r>
          </w:p>
        </w:tc>
        <w:tc>
          <w:tcPr>
            <w:tcW w:w="1300" w:type="dxa"/>
            <w:tcBorders>
              <w:top w:val="nil"/>
              <w:left w:val="nil"/>
              <w:bottom w:val="nil"/>
              <w:right w:val="nil"/>
            </w:tcBorders>
            <w:shd w:val="clear" w:color="auto" w:fill="auto"/>
            <w:noWrap/>
            <w:vAlign w:val="center"/>
            <w:hideMark/>
          </w:tcPr>
          <w:p w14:paraId="452662BB"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6CA67281" w14:textId="59959A2B"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4" w:tooltip="Zhao, 2021 #48" w:history="1">
              <w:r w:rsidR="005A769C">
                <w:rPr>
                  <w:rFonts w:ascii="Calibri" w:eastAsia="Times New Roman" w:hAnsi="Calibri" w:cs="Calibri"/>
                  <w:noProof/>
                  <w:color w:val="000000"/>
                  <w:sz w:val="22"/>
                  <w:szCs w:val="22"/>
                </w:rPr>
                <w:t>4</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01E86BE9" w14:textId="77777777" w:rsidTr="0070135C">
        <w:trPr>
          <w:trHeight w:val="320"/>
        </w:trPr>
        <w:tc>
          <w:tcPr>
            <w:tcW w:w="1300" w:type="dxa"/>
            <w:tcBorders>
              <w:top w:val="nil"/>
              <w:left w:val="nil"/>
              <w:bottom w:val="nil"/>
              <w:right w:val="nil"/>
            </w:tcBorders>
            <w:shd w:val="clear" w:color="auto" w:fill="auto"/>
            <w:noWrap/>
            <w:vAlign w:val="center"/>
            <w:hideMark/>
          </w:tcPr>
          <w:p w14:paraId="7C7D3803"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CO4B</w:t>
            </w:r>
          </w:p>
        </w:tc>
        <w:tc>
          <w:tcPr>
            <w:tcW w:w="1300" w:type="dxa"/>
            <w:tcBorders>
              <w:top w:val="nil"/>
              <w:left w:val="nil"/>
              <w:bottom w:val="nil"/>
              <w:right w:val="nil"/>
            </w:tcBorders>
            <w:shd w:val="clear" w:color="auto" w:fill="auto"/>
            <w:noWrap/>
            <w:vAlign w:val="center"/>
            <w:hideMark/>
          </w:tcPr>
          <w:p w14:paraId="6ADAC8AB"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P0C0L5</w:t>
            </w:r>
          </w:p>
        </w:tc>
        <w:tc>
          <w:tcPr>
            <w:tcW w:w="3740" w:type="dxa"/>
            <w:tcBorders>
              <w:top w:val="nil"/>
              <w:left w:val="nil"/>
              <w:bottom w:val="nil"/>
              <w:right w:val="nil"/>
            </w:tcBorders>
            <w:shd w:val="clear" w:color="auto" w:fill="auto"/>
            <w:noWrap/>
            <w:vAlign w:val="center"/>
            <w:hideMark/>
          </w:tcPr>
          <w:p w14:paraId="6651327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Complement C4-B</w:t>
            </w:r>
          </w:p>
        </w:tc>
        <w:tc>
          <w:tcPr>
            <w:tcW w:w="1300" w:type="dxa"/>
            <w:tcBorders>
              <w:top w:val="nil"/>
              <w:left w:val="nil"/>
              <w:bottom w:val="nil"/>
              <w:right w:val="nil"/>
            </w:tcBorders>
            <w:shd w:val="clear" w:color="auto" w:fill="auto"/>
            <w:noWrap/>
            <w:vAlign w:val="center"/>
            <w:hideMark/>
          </w:tcPr>
          <w:p w14:paraId="54090FA9"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7AAAB4D6" w14:textId="77BC5F4A"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4" w:tooltip="Zhao, 2021 #48" w:history="1">
              <w:r w:rsidR="005A769C">
                <w:rPr>
                  <w:rFonts w:ascii="Calibri" w:eastAsia="Times New Roman" w:hAnsi="Calibri" w:cs="Calibri"/>
                  <w:noProof/>
                  <w:color w:val="000000"/>
                  <w:sz w:val="22"/>
                  <w:szCs w:val="22"/>
                </w:rPr>
                <w:t>4</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06AFDD1F" w14:textId="77777777" w:rsidTr="0070135C">
        <w:trPr>
          <w:trHeight w:val="320"/>
        </w:trPr>
        <w:tc>
          <w:tcPr>
            <w:tcW w:w="1300" w:type="dxa"/>
            <w:tcBorders>
              <w:top w:val="nil"/>
              <w:left w:val="nil"/>
              <w:bottom w:val="nil"/>
              <w:right w:val="nil"/>
            </w:tcBorders>
            <w:shd w:val="clear" w:color="auto" w:fill="auto"/>
            <w:noWrap/>
            <w:vAlign w:val="center"/>
            <w:hideMark/>
          </w:tcPr>
          <w:p w14:paraId="4C8067F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CO6</w:t>
            </w:r>
          </w:p>
        </w:tc>
        <w:tc>
          <w:tcPr>
            <w:tcW w:w="1300" w:type="dxa"/>
            <w:tcBorders>
              <w:top w:val="nil"/>
              <w:left w:val="nil"/>
              <w:bottom w:val="nil"/>
              <w:right w:val="nil"/>
            </w:tcBorders>
            <w:shd w:val="clear" w:color="auto" w:fill="auto"/>
            <w:noWrap/>
            <w:vAlign w:val="center"/>
            <w:hideMark/>
          </w:tcPr>
          <w:p w14:paraId="75224467"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P13671</w:t>
            </w:r>
          </w:p>
        </w:tc>
        <w:tc>
          <w:tcPr>
            <w:tcW w:w="3740" w:type="dxa"/>
            <w:tcBorders>
              <w:top w:val="nil"/>
              <w:left w:val="nil"/>
              <w:bottom w:val="nil"/>
              <w:right w:val="nil"/>
            </w:tcBorders>
            <w:shd w:val="clear" w:color="auto" w:fill="auto"/>
            <w:noWrap/>
            <w:vAlign w:val="center"/>
            <w:hideMark/>
          </w:tcPr>
          <w:p w14:paraId="3EA71F0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Complement component C6</w:t>
            </w:r>
          </w:p>
        </w:tc>
        <w:tc>
          <w:tcPr>
            <w:tcW w:w="1300" w:type="dxa"/>
            <w:tcBorders>
              <w:top w:val="nil"/>
              <w:left w:val="nil"/>
              <w:bottom w:val="nil"/>
              <w:right w:val="nil"/>
            </w:tcBorders>
            <w:shd w:val="clear" w:color="auto" w:fill="auto"/>
            <w:noWrap/>
            <w:vAlign w:val="center"/>
            <w:hideMark/>
          </w:tcPr>
          <w:p w14:paraId="2C5F0479"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543B6C20" w14:textId="15AA2F4B"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4" w:tooltip="Zhao, 2021 #48" w:history="1">
              <w:r w:rsidR="005A769C">
                <w:rPr>
                  <w:rFonts w:ascii="Calibri" w:eastAsia="Times New Roman" w:hAnsi="Calibri" w:cs="Calibri"/>
                  <w:noProof/>
                  <w:color w:val="000000"/>
                  <w:sz w:val="22"/>
                  <w:szCs w:val="22"/>
                </w:rPr>
                <w:t>4</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ADD07D7" w14:textId="77777777" w:rsidTr="0070135C">
        <w:trPr>
          <w:trHeight w:val="320"/>
        </w:trPr>
        <w:tc>
          <w:tcPr>
            <w:tcW w:w="1300" w:type="dxa"/>
            <w:tcBorders>
              <w:top w:val="nil"/>
              <w:left w:val="nil"/>
              <w:bottom w:val="nil"/>
              <w:right w:val="nil"/>
            </w:tcBorders>
            <w:shd w:val="clear" w:color="auto" w:fill="auto"/>
            <w:noWrap/>
            <w:vAlign w:val="center"/>
            <w:hideMark/>
          </w:tcPr>
          <w:p w14:paraId="23C2AB6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CO8A</w:t>
            </w:r>
          </w:p>
        </w:tc>
        <w:tc>
          <w:tcPr>
            <w:tcW w:w="1300" w:type="dxa"/>
            <w:tcBorders>
              <w:top w:val="nil"/>
              <w:left w:val="nil"/>
              <w:bottom w:val="nil"/>
              <w:right w:val="nil"/>
            </w:tcBorders>
            <w:shd w:val="clear" w:color="auto" w:fill="auto"/>
            <w:noWrap/>
            <w:vAlign w:val="center"/>
            <w:hideMark/>
          </w:tcPr>
          <w:p w14:paraId="7E3670A5"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P07357</w:t>
            </w:r>
          </w:p>
        </w:tc>
        <w:tc>
          <w:tcPr>
            <w:tcW w:w="3740" w:type="dxa"/>
            <w:tcBorders>
              <w:top w:val="nil"/>
              <w:left w:val="nil"/>
              <w:bottom w:val="nil"/>
              <w:right w:val="nil"/>
            </w:tcBorders>
            <w:shd w:val="clear" w:color="auto" w:fill="auto"/>
            <w:noWrap/>
            <w:vAlign w:val="center"/>
            <w:hideMark/>
          </w:tcPr>
          <w:p w14:paraId="098C6F2B" w14:textId="77777777" w:rsidR="00CC20C0" w:rsidRPr="00AA4759" w:rsidRDefault="00CC20C0" w:rsidP="0070135C">
            <w:pPr>
              <w:rPr>
                <w:rFonts w:ascii="Calibri" w:eastAsia="Times New Roman" w:hAnsi="Calibri" w:cs="Calibri"/>
                <w:color w:val="000000"/>
                <w:sz w:val="22"/>
                <w:szCs w:val="22"/>
                <w:lang w:val="fr-CH"/>
              </w:rPr>
            </w:pPr>
            <w:r w:rsidRPr="00AA4759">
              <w:rPr>
                <w:rFonts w:ascii="Calibri" w:eastAsia="Times New Roman" w:hAnsi="Calibri" w:cs="Calibri"/>
                <w:color w:val="000000"/>
                <w:sz w:val="22"/>
                <w:szCs w:val="22"/>
                <w:lang w:val="fr-CH"/>
              </w:rPr>
              <w:t>Complement component C8 alpha chain</w:t>
            </w:r>
          </w:p>
        </w:tc>
        <w:tc>
          <w:tcPr>
            <w:tcW w:w="1300" w:type="dxa"/>
            <w:tcBorders>
              <w:top w:val="nil"/>
              <w:left w:val="nil"/>
              <w:bottom w:val="nil"/>
              <w:right w:val="nil"/>
            </w:tcBorders>
            <w:shd w:val="clear" w:color="auto" w:fill="auto"/>
            <w:noWrap/>
            <w:vAlign w:val="center"/>
            <w:hideMark/>
          </w:tcPr>
          <w:p w14:paraId="6B917699"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467FAB57" w14:textId="480482BE"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PEVuZE5vdGU+PENpdGU+PEF1dGhvcj5aaGFvPC9BdXRob3I+PFllYXI+MjAyMTwvWWVhcj48UmVj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4" w:tooltip="Zhao, 2021 #48" w:history="1">
              <w:r w:rsidR="005A769C">
                <w:rPr>
                  <w:rFonts w:ascii="Calibri" w:eastAsia="Times New Roman" w:hAnsi="Calibri" w:cs="Calibri"/>
                  <w:noProof/>
                  <w:color w:val="000000"/>
                  <w:sz w:val="22"/>
                  <w:szCs w:val="22"/>
                </w:rPr>
                <w:t>4</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BC140B4" w14:textId="77777777" w:rsidTr="0070135C">
        <w:trPr>
          <w:trHeight w:val="320"/>
        </w:trPr>
        <w:tc>
          <w:tcPr>
            <w:tcW w:w="1300" w:type="dxa"/>
            <w:tcBorders>
              <w:top w:val="nil"/>
              <w:left w:val="nil"/>
              <w:bottom w:val="nil"/>
              <w:right w:val="nil"/>
            </w:tcBorders>
            <w:shd w:val="clear" w:color="auto" w:fill="auto"/>
            <w:noWrap/>
            <w:vAlign w:val="center"/>
            <w:hideMark/>
          </w:tcPr>
          <w:p w14:paraId="7C8297C5"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CH60</w:t>
            </w:r>
          </w:p>
        </w:tc>
        <w:tc>
          <w:tcPr>
            <w:tcW w:w="1300" w:type="dxa"/>
            <w:tcBorders>
              <w:top w:val="nil"/>
              <w:left w:val="nil"/>
              <w:bottom w:val="nil"/>
              <w:right w:val="nil"/>
            </w:tcBorders>
            <w:shd w:val="clear" w:color="auto" w:fill="auto"/>
            <w:noWrap/>
            <w:vAlign w:val="center"/>
            <w:hideMark/>
          </w:tcPr>
          <w:p w14:paraId="39056A83"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P10809</w:t>
            </w:r>
          </w:p>
        </w:tc>
        <w:tc>
          <w:tcPr>
            <w:tcW w:w="3740" w:type="dxa"/>
            <w:tcBorders>
              <w:top w:val="nil"/>
              <w:left w:val="nil"/>
              <w:bottom w:val="nil"/>
              <w:right w:val="nil"/>
            </w:tcBorders>
            <w:shd w:val="clear" w:color="auto" w:fill="auto"/>
            <w:noWrap/>
            <w:vAlign w:val="center"/>
            <w:hideMark/>
          </w:tcPr>
          <w:p w14:paraId="1FD3E68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60 kDa heat shock protein, mitochondrial</w:t>
            </w:r>
          </w:p>
        </w:tc>
        <w:tc>
          <w:tcPr>
            <w:tcW w:w="1300" w:type="dxa"/>
            <w:tcBorders>
              <w:top w:val="nil"/>
              <w:left w:val="nil"/>
              <w:bottom w:val="nil"/>
              <w:right w:val="nil"/>
            </w:tcBorders>
            <w:shd w:val="clear" w:color="auto" w:fill="auto"/>
            <w:noWrap/>
            <w:vAlign w:val="center"/>
            <w:hideMark/>
          </w:tcPr>
          <w:p w14:paraId="1F3E9E35"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40482BB3" w14:textId="0F128183"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5" w:tooltip="Yuruk Yildirim, 2021 #129" w:history="1">
              <w:r w:rsidR="005A769C">
                <w:rPr>
                  <w:rFonts w:ascii="Calibri" w:eastAsia="Times New Roman" w:hAnsi="Calibri" w:cs="Calibri"/>
                  <w:noProof/>
                  <w:color w:val="000000"/>
                  <w:sz w:val="22"/>
                  <w:szCs w:val="22"/>
                </w:rPr>
                <w:t>5</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E99F9FD" w14:textId="77777777" w:rsidTr="0070135C">
        <w:trPr>
          <w:trHeight w:val="700"/>
        </w:trPr>
        <w:tc>
          <w:tcPr>
            <w:tcW w:w="1300" w:type="dxa"/>
            <w:tcBorders>
              <w:top w:val="nil"/>
              <w:left w:val="nil"/>
              <w:bottom w:val="nil"/>
              <w:right w:val="nil"/>
            </w:tcBorders>
            <w:shd w:val="clear" w:color="auto" w:fill="auto"/>
            <w:vAlign w:val="center"/>
            <w:hideMark/>
          </w:tcPr>
          <w:p w14:paraId="2FDC0897"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HS71A or HS71B</w:t>
            </w:r>
          </w:p>
        </w:tc>
        <w:tc>
          <w:tcPr>
            <w:tcW w:w="1300" w:type="dxa"/>
            <w:tcBorders>
              <w:top w:val="nil"/>
              <w:left w:val="nil"/>
              <w:bottom w:val="nil"/>
              <w:right w:val="nil"/>
            </w:tcBorders>
            <w:shd w:val="clear" w:color="auto" w:fill="auto"/>
            <w:vAlign w:val="center"/>
            <w:hideMark/>
          </w:tcPr>
          <w:p w14:paraId="27426279"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P0DMV8 or P0DMV9</w:t>
            </w:r>
          </w:p>
        </w:tc>
        <w:tc>
          <w:tcPr>
            <w:tcW w:w="3740" w:type="dxa"/>
            <w:tcBorders>
              <w:top w:val="nil"/>
              <w:left w:val="nil"/>
              <w:bottom w:val="nil"/>
              <w:right w:val="nil"/>
            </w:tcBorders>
            <w:shd w:val="clear" w:color="auto" w:fill="auto"/>
            <w:vAlign w:val="center"/>
            <w:hideMark/>
          </w:tcPr>
          <w:p w14:paraId="38C878BA"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Heat shock 70 kDa protein 1A or Heat shock 70 kDa protein 1B</w:t>
            </w:r>
          </w:p>
        </w:tc>
        <w:tc>
          <w:tcPr>
            <w:tcW w:w="1300" w:type="dxa"/>
            <w:tcBorders>
              <w:top w:val="nil"/>
              <w:left w:val="nil"/>
              <w:bottom w:val="nil"/>
              <w:right w:val="nil"/>
            </w:tcBorders>
            <w:shd w:val="clear" w:color="auto" w:fill="auto"/>
            <w:noWrap/>
            <w:vAlign w:val="center"/>
            <w:hideMark/>
          </w:tcPr>
          <w:p w14:paraId="7DCC36F5"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1E654879" w14:textId="261713C0"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5" w:tooltip="Yuruk Yildirim, 2021 #129" w:history="1">
              <w:r w:rsidR="005A769C">
                <w:rPr>
                  <w:rFonts w:ascii="Calibri" w:eastAsia="Times New Roman" w:hAnsi="Calibri" w:cs="Calibri"/>
                  <w:noProof/>
                  <w:color w:val="000000"/>
                  <w:sz w:val="22"/>
                  <w:szCs w:val="22"/>
                </w:rPr>
                <w:t>5</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57B770FB" w14:textId="77777777" w:rsidTr="0070135C">
        <w:trPr>
          <w:trHeight w:val="320"/>
        </w:trPr>
        <w:tc>
          <w:tcPr>
            <w:tcW w:w="1300" w:type="dxa"/>
            <w:tcBorders>
              <w:top w:val="nil"/>
              <w:left w:val="nil"/>
              <w:bottom w:val="nil"/>
              <w:right w:val="nil"/>
            </w:tcBorders>
            <w:shd w:val="clear" w:color="auto" w:fill="auto"/>
            <w:noWrap/>
            <w:vAlign w:val="center"/>
            <w:hideMark/>
          </w:tcPr>
          <w:p w14:paraId="641822F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HS90A</w:t>
            </w:r>
          </w:p>
        </w:tc>
        <w:tc>
          <w:tcPr>
            <w:tcW w:w="1300" w:type="dxa"/>
            <w:tcBorders>
              <w:top w:val="nil"/>
              <w:left w:val="nil"/>
              <w:bottom w:val="nil"/>
              <w:right w:val="nil"/>
            </w:tcBorders>
            <w:shd w:val="clear" w:color="auto" w:fill="auto"/>
            <w:noWrap/>
            <w:vAlign w:val="center"/>
            <w:hideMark/>
          </w:tcPr>
          <w:p w14:paraId="0D01750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P07900</w:t>
            </w:r>
          </w:p>
        </w:tc>
        <w:tc>
          <w:tcPr>
            <w:tcW w:w="3740" w:type="dxa"/>
            <w:tcBorders>
              <w:top w:val="nil"/>
              <w:left w:val="nil"/>
              <w:bottom w:val="nil"/>
              <w:right w:val="nil"/>
            </w:tcBorders>
            <w:shd w:val="clear" w:color="auto" w:fill="auto"/>
            <w:noWrap/>
            <w:vAlign w:val="center"/>
            <w:hideMark/>
          </w:tcPr>
          <w:p w14:paraId="0BF47D7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Heat shock protein HSP 90-alpha</w:t>
            </w:r>
          </w:p>
        </w:tc>
        <w:tc>
          <w:tcPr>
            <w:tcW w:w="1300" w:type="dxa"/>
            <w:tcBorders>
              <w:top w:val="nil"/>
              <w:left w:val="nil"/>
              <w:bottom w:val="nil"/>
              <w:right w:val="nil"/>
            </w:tcBorders>
            <w:shd w:val="clear" w:color="auto" w:fill="auto"/>
            <w:noWrap/>
            <w:vAlign w:val="center"/>
            <w:hideMark/>
          </w:tcPr>
          <w:p w14:paraId="3D7D2C58"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061B1313" w14:textId="4F6D62C9"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5" w:tooltip="Yuruk Yildirim, 2021 #129" w:history="1">
              <w:r w:rsidR="005A769C">
                <w:rPr>
                  <w:rFonts w:ascii="Calibri" w:eastAsia="Times New Roman" w:hAnsi="Calibri" w:cs="Calibri"/>
                  <w:noProof/>
                  <w:color w:val="000000"/>
                  <w:sz w:val="22"/>
                  <w:szCs w:val="22"/>
                </w:rPr>
                <w:t>5</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54917ED" w14:textId="77777777" w:rsidTr="0070135C">
        <w:trPr>
          <w:trHeight w:val="320"/>
        </w:trPr>
        <w:tc>
          <w:tcPr>
            <w:tcW w:w="1300" w:type="dxa"/>
            <w:tcBorders>
              <w:top w:val="nil"/>
              <w:left w:val="nil"/>
              <w:bottom w:val="nil"/>
              <w:right w:val="nil"/>
            </w:tcBorders>
            <w:shd w:val="clear" w:color="auto" w:fill="auto"/>
            <w:noWrap/>
            <w:vAlign w:val="center"/>
            <w:hideMark/>
          </w:tcPr>
          <w:p w14:paraId="3376260D"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HS90B</w:t>
            </w:r>
          </w:p>
        </w:tc>
        <w:tc>
          <w:tcPr>
            <w:tcW w:w="1300" w:type="dxa"/>
            <w:tcBorders>
              <w:top w:val="nil"/>
              <w:left w:val="nil"/>
              <w:bottom w:val="nil"/>
              <w:right w:val="nil"/>
            </w:tcBorders>
            <w:shd w:val="clear" w:color="auto" w:fill="auto"/>
            <w:noWrap/>
            <w:vAlign w:val="center"/>
            <w:hideMark/>
          </w:tcPr>
          <w:p w14:paraId="569E848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P08238</w:t>
            </w:r>
          </w:p>
        </w:tc>
        <w:tc>
          <w:tcPr>
            <w:tcW w:w="3740" w:type="dxa"/>
            <w:tcBorders>
              <w:top w:val="nil"/>
              <w:left w:val="nil"/>
              <w:bottom w:val="nil"/>
              <w:right w:val="nil"/>
            </w:tcBorders>
            <w:shd w:val="clear" w:color="auto" w:fill="auto"/>
            <w:noWrap/>
            <w:vAlign w:val="center"/>
            <w:hideMark/>
          </w:tcPr>
          <w:p w14:paraId="1A4F3E0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Heat shock protein HSP 90-beta</w:t>
            </w:r>
          </w:p>
        </w:tc>
        <w:tc>
          <w:tcPr>
            <w:tcW w:w="1300" w:type="dxa"/>
            <w:tcBorders>
              <w:top w:val="nil"/>
              <w:left w:val="nil"/>
              <w:bottom w:val="nil"/>
              <w:right w:val="nil"/>
            </w:tcBorders>
            <w:shd w:val="clear" w:color="auto" w:fill="auto"/>
            <w:noWrap/>
            <w:vAlign w:val="center"/>
            <w:hideMark/>
          </w:tcPr>
          <w:p w14:paraId="6D0A9C14"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4B12A4CD" w14:textId="518C42BC"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5" w:tooltip="Yuruk Yildirim, 2021 #129" w:history="1">
              <w:r w:rsidR="005A769C">
                <w:rPr>
                  <w:rFonts w:ascii="Calibri" w:eastAsia="Times New Roman" w:hAnsi="Calibri" w:cs="Calibri"/>
                  <w:noProof/>
                  <w:color w:val="000000"/>
                  <w:sz w:val="22"/>
                  <w:szCs w:val="22"/>
                </w:rPr>
                <w:t>5</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305678F5" w14:textId="77777777" w:rsidTr="0070135C">
        <w:trPr>
          <w:trHeight w:val="320"/>
        </w:trPr>
        <w:tc>
          <w:tcPr>
            <w:tcW w:w="1300" w:type="dxa"/>
            <w:tcBorders>
              <w:top w:val="nil"/>
              <w:left w:val="nil"/>
              <w:bottom w:val="nil"/>
              <w:right w:val="nil"/>
            </w:tcBorders>
            <w:shd w:val="clear" w:color="auto" w:fill="auto"/>
            <w:noWrap/>
            <w:vAlign w:val="center"/>
            <w:hideMark/>
          </w:tcPr>
          <w:p w14:paraId="0027B59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HSP72</w:t>
            </w:r>
          </w:p>
        </w:tc>
        <w:tc>
          <w:tcPr>
            <w:tcW w:w="1300" w:type="dxa"/>
            <w:tcBorders>
              <w:top w:val="nil"/>
              <w:left w:val="nil"/>
              <w:bottom w:val="nil"/>
              <w:right w:val="nil"/>
            </w:tcBorders>
            <w:shd w:val="clear" w:color="auto" w:fill="auto"/>
            <w:noWrap/>
            <w:vAlign w:val="center"/>
            <w:hideMark/>
          </w:tcPr>
          <w:p w14:paraId="0E6D46A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P54652</w:t>
            </w:r>
          </w:p>
        </w:tc>
        <w:tc>
          <w:tcPr>
            <w:tcW w:w="3740" w:type="dxa"/>
            <w:tcBorders>
              <w:top w:val="nil"/>
              <w:left w:val="nil"/>
              <w:bottom w:val="nil"/>
              <w:right w:val="nil"/>
            </w:tcBorders>
            <w:shd w:val="clear" w:color="auto" w:fill="auto"/>
            <w:noWrap/>
            <w:vAlign w:val="center"/>
            <w:hideMark/>
          </w:tcPr>
          <w:p w14:paraId="113D543C"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Heat shock-related 70 kDa protein 2</w:t>
            </w:r>
          </w:p>
        </w:tc>
        <w:tc>
          <w:tcPr>
            <w:tcW w:w="1300" w:type="dxa"/>
            <w:tcBorders>
              <w:top w:val="nil"/>
              <w:left w:val="nil"/>
              <w:bottom w:val="nil"/>
              <w:right w:val="nil"/>
            </w:tcBorders>
            <w:shd w:val="clear" w:color="auto" w:fill="auto"/>
            <w:noWrap/>
            <w:vAlign w:val="center"/>
            <w:hideMark/>
          </w:tcPr>
          <w:p w14:paraId="78D54D87"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2A0C2E3C" w14:textId="089C7573"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PEVuZE5vdGU+PENpdGU+PEF1dGhvcj5ZdXJ1ayBZaWxkaXJpbTwvQXV0aG9yPjxZZWFyPjIwMjE8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=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5" w:tooltip="Yuruk Yildirim, 2021 #129" w:history="1">
              <w:r w:rsidR="005A769C">
                <w:rPr>
                  <w:rFonts w:ascii="Calibri" w:eastAsia="Times New Roman" w:hAnsi="Calibri" w:cs="Calibri"/>
                  <w:noProof/>
                  <w:color w:val="000000"/>
                  <w:sz w:val="22"/>
                  <w:szCs w:val="22"/>
                </w:rPr>
                <w:t>5</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1DE510B0" w14:textId="77777777" w:rsidTr="0070135C">
        <w:trPr>
          <w:trHeight w:val="320"/>
        </w:trPr>
        <w:tc>
          <w:tcPr>
            <w:tcW w:w="1300" w:type="dxa"/>
            <w:tcBorders>
              <w:top w:val="nil"/>
              <w:left w:val="nil"/>
              <w:bottom w:val="nil"/>
              <w:right w:val="nil"/>
            </w:tcBorders>
            <w:shd w:val="clear" w:color="auto" w:fill="auto"/>
            <w:noWrap/>
            <w:vAlign w:val="center"/>
            <w:hideMark/>
          </w:tcPr>
          <w:p w14:paraId="006B1B96"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FA11</w:t>
            </w:r>
          </w:p>
        </w:tc>
        <w:tc>
          <w:tcPr>
            <w:tcW w:w="1300" w:type="dxa"/>
            <w:tcBorders>
              <w:top w:val="nil"/>
              <w:left w:val="nil"/>
              <w:bottom w:val="nil"/>
              <w:right w:val="nil"/>
            </w:tcBorders>
            <w:shd w:val="clear" w:color="auto" w:fill="auto"/>
            <w:noWrap/>
            <w:vAlign w:val="center"/>
            <w:hideMark/>
          </w:tcPr>
          <w:p w14:paraId="280DEF0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P03951</w:t>
            </w:r>
          </w:p>
        </w:tc>
        <w:tc>
          <w:tcPr>
            <w:tcW w:w="3740" w:type="dxa"/>
            <w:tcBorders>
              <w:top w:val="nil"/>
              <w:left w:val="nil"/>
              <w:bottom w:val="nil"/>
              <w:right w:val="nil"/>
            </w:tcBorders>
            <w:shd w:val="clear" w:color="auto" w:fill="auto"/>
            <w:noWrap/>
            <w:vAlign w:val="center"/>
            <w:hideMark/>
          </w:tcPr>
          <w:p w14:paraId="3997DFD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Coagulation factor XI</w:t>
            </w:r>
          </w:p>
        </w:tc>
        <w:tc>
          <w:tcPr>
            <w:tcW w:w="1300" w:type="dxa"/>
            <w:tcBorders>
              <w:top w:val="nil"/>
              <w:left w:val="nil"/>
              <w:bottom w:val="nil"/>
              <w:right w:val="nil"/>
            </w:tcBorders>
            <w:shd w:val="clear" w:color="auto" w:fill="auto"/>
            <w:noWrap/>
            <w:vAlign w:val="center"/>
            <w:hideMark/>
          </w:tcPr>
          <w:p w14:paraId="12725F6F"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48C3E2EA" w14:textId="09E2CA8D"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fldData xml:space="preserve">PEVuZE5vdGU+PENpdGU+PEF1dGhvcj5FaWtlbGJvb208L0F1dGhvcj48WWVhcj4yMDIxPC9ZZWFy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</w:fldData>
              </w:fldChar>
            </w:r>
            <w:r w:rsidR="005A769C">
              <w:rPr>
                <w:rFonts w:ascii="Calibri" w:eastAsia="Times New Roman" w:hAnsi="Calibri" w:cs="Calibri"/>
                <w:color w:val="000000"/>
                <w:sz w:val="22"/>
                <w:szCs w:val="22"/>
              </w:rPr>
              <w:instrText xml:space="preserve"> ADDIN EN.CITE </w:instrText>
            </w:r>
            <w:r w:rsidR="005A769C">
              <w:rPr>
                <w:rFonts w:ascii="Calibri" w:eastAsia="Times New Roman" w:hAnsi="Calibri" w:cs="Calibri"/>
                <w:color w:val="000000"/>
                <w:sz w:val="22"/>
                <w:szCs w:val="22"/>
              </w:rPr>
              <w:fldChar w:fldCharType="begin">
                <w:fldData xml:space="preserve">PEVuZE5vdGU+PENpdGU+PEF1dGhvcj5FaWtlbGJvb208L0F1dGhvcj48WWVhcj4yMDIxPC9ZZWFy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</w:fldData>
              </w:fldChar>
            </w:r>
            <w:r w:rsidR="005A769C">
              <w:rPr>
                <w:rFonts w:ascii="Calibri" w:eastAsia="Times New Roman" w:hAnsi="Calibri" w:cs="Calibri"/>
                <w:color w:val="000000"/>
                <w:sz w:val="22"/>
                <w:szCs w:val="22"/>
              </w:rPr>
              <w:instrText xml:space="preserve"> ADDIN EN.CITE.DATA </w:instrText>
            </w:r>
            <w:r w:rsidR="005A769C">
              <w:rPr>
                <w:rFonts w:ascii="Calibri" w:eastAsia="Times New Roman" w:hAnsi="Calibri" w:cs="Calibri"/>
                <w:color w:val="000000"/>
                <w:sz w:val="22"/>
                <w:szCs w:val="22"/>
              </w:rPr>
            </w:r>
            <w:r w:rsidR="005A769C">
              <w:rPr>
                <w:rFonts w:ascii="Calibri" w:eastAsia="Times New Roman" w:hAnsi="Calibri" w:cs="Calibri"/>
                <w:color w:val="000000"/>
                <w:sz w:val="22"/>
                <w:szCs w:val="22"/>
              </w:rPr>
              <w:fldChar w:fldCharType="end"/>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6" w:tooltip="Eikelboom, 2021 #52" w:history="1">
              <w:r w:rsidR="005A769C">
                <w:rPr>
                  <w:rFonts w:ascii="Calibri" w:eastAsia="Times New Roman" w:hAnsi="Calibri" w:cs="Calibri"/>
                  <w:noProof/>
                  <w:color w:val="000000"/>
                  <w:sz w:val="22"/>
                  <w:szCs w:val="22"/>
                </w:rPr>
                <w:t>6</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15F8BA0C" w14:textId="77777777" w:rsidTr="0070135C">
        <w:trPr>
          <w:trHeight w:val="320"/>
        </w:trPr>
        <w:tc>
          <w:tcPr>
            <w:tcW w:w="1300" w:type="dxa"/>
            <w:tcBorders>
              <w:top w:val="nil"/>
              <w:left w:val="nil"/>
              <w:bottom w:val="nil"/>
              <w:right w:val="nil"/>
            </w:tcBorders>
            <w:shd w:val="clear" w:color="auto" w:fill="auto"/>
            <w:noWrap/>
            <w:vAlign w:val="center"/>
            <w:hideMark/>
          </w:tcPr>
          <w:p w14:paraId="77BDF611"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TFF1</w:t>
            </w:r>
          </w:p>
        </w:tc>
        <w:tc>
          <w:tcPr>
            <w:tcW w:w="1300" w:type="dxa"/>
            <w:tcBorders>
              <w:top w:val="nil"/>
              <w:left w:val="nil"/>
              <w:bottom w:val="nil"/>
              <w:right w:val="nil"/>
            </w:tcBorders>
            <w:shd w:val="clear" w:color="auto" w:fill="auto"/>
            <w:noWrap/>
            <w:vAlign w:val="center"/>
            <w:hideMark/>
          </w:tcPr>
          <w:p w14:paraId="4D95EAFA"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P04155</w:t>
            </w:r>
          </w:p>
        </w:tc>
        <w:tc>
          <w:tcPr>
            <w:tcW w:w="3740" w:type="dxa"/>
            <w:tcBorders>
              <w:top w:val="nil"/>
              <w:left w:val="nil"/>
              <w:bottom w:val="nil"/>
              <w:right w:val="nil"/>
            </w:tcBorders>
            <w:shd w:val="clear" w:color="auto" w:fill="auto"/>
            <w:noWrap/>
            <w:vAlign w:val="center"/>
            <w:hideMark/>
          </w:tcPr>
          <w:p w14:paraId="0B645BF4"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Trefoil factor 1</w:t>
            </w:r>
          </w:p>
        </w:tc>
        <w:tc>
          <w:tcPr>
            <w:tcW w:w="1300" w:type="dxa"/>
            <w:tcBorders>
              <w:top w:val="nil"/>
              <w:left w:val="nil"/>
              <w:bottom w:val="nil"/>
              <w:right w:val="nil"/>
            </w:tcBorders>
            <w:shd w:val="clear" w:color="auto" w:fill="auto"/>
            <w:noWrap/>
            <w:vAlign w:val="center"/>
            <w:hideMark/>
          </w:tcPr>
          <w:p w14:paraId="24285F08"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3BD28302" w14:textId="4F1D1965"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r>
            <w:r w:rsidR="005A769C">
              <w:rPr>
                <w:rFonts w:ascii="Calibri" w:eastAsia="Times New Roman" w:hAnsi="Calibri" w:cs="Calibri"/>
                <w:color w:val="000000"/>
                <w:sz w:val="22"/>
                <w:szCs w:val="22"/>
              </w:rPr>
              <w:instrText xml:space="preserve"> ADDIN EN.CITE &lt;EndNote&gt;&lt;Cite&gt;&lt;Author&gt;Jin&lt;/Author&gt;&lt;Year&gt;2020&lt;/Year&gt;&lt;RecNum&gt;46&lt;/RecNum&gt;&lt;DisplayText&gt;(7)&lt;/DisplayText&gt;&lt;record&gt;&lt;rec-number&gt;46&lt;/rec-number&gt;&lt;foreign-keys&gt;&lt;key app="EN" db-id="0atfze5sdeawrve0tf2xffdzw2rfxrdpfwef" timestamp="1655481103"&gt;46&lt;/key&gt;&lt;/foreign-keys&gt;&lt;ref-type name="Journal Article"&gt;17&lt;/ref-type&gt;&lt;contributors&gt;&lt;authors&gt;&lt;author&gt;Jin, J.&lt;/author&gt;&lt;author&gt;Gong, J.&lt;/author&gt;&lt;author&gt;Zhao, L.&lt;/author&gt;&lt;author&gt;Li, Y.&lt;/author&gt;&lt;author&gt;Wang, Y.&lt;/author&gt;&lt;author&gt;He, Q.&lt;/author&gt;&lt;/authors&gt;&lt;/contributors&gt;&lt;auth-address&gt;Department of Nephrology, Zhejiang Provincial People&amp;apos;s Hospital, Zhejiang 310014, PR China.&amp;#xD;Department of Nephrology, People&amp;apos;s Hospital of Hangzhou Medical College, Zhejiang 310014, PR China.&amp;#xD;Key Laboratory of Kidney Disease of Traditional Chinese Medicine in Zhejiang Province, Zhejiang 310014, PR China.&lt;/auth-address&gt;&lt;titles&gt;&lt;title&gt;iTRAQ-based comparative proteomics analysis reveals specific urinary biomarkers for various kidney diseases&lt;/title&gt;&lt;secondary-title&gt;Biomark Med&lt;/secondary-title&gt;&lt;/titles&gt;&lt;periodical&gt;&lt;full-title&gt;Biomark Med&lt;/full-title&gt;&lt;/periodical&gt;&lt;pages&gt;839-854&lt;/pages&gt;&lt;volume&gt;14&lt;/volume&gt;&lt;number&gt;10&lt;/number&gt;&lt;edition&gt;20200828&lt;/edition&gt;&lt;keywords&gt;&lt;keyword&gt;Adult&lt;/keyword&gt;&lt;keyword&gt;Biomarkers/metabolism/*urine&lt;/keyword&gt;&lt;keyword&gt;Female&lt;/keyword&gt;&lt;keyword&gt;Humans&lt;/keyword&gt;&lt;keyword&gt;Kidney Diseases/metabolism/*urine&lt;/keyword&gt;&lt;keyword&gt;Male&lt;/keyword&gt;&lt;keyword&gt;*Proteomics&lt;/keyword&gt;&lt;keyword&gt;*biomarker discovery&lt;/keyword&gt;&lt;keyword&gt;*differentially expressed proteins&lt;/keyword&gt;&lt;keyword&gt;*kidney disease&lt;/keyword&gt;&lt;keyword&gt;*urinary proteomics&lt;/keyword&gt;&lt;/keywords&gt;&lt;dates&gt;&lt;year&gt;2020&lt;/year&gt;&lt;pub-dates&gt;&lt;date&gt;Jul&lt;/date&gt;&lt;/pub-dates&gt;&lt;/dates&gt;&lt;isbn&gt;1752-0371 (Electronic)&amp;#xD;1752-0363 (Linking)&lt;/isbn&gt;&lt;accession-num&gt;32856461&lt;/accession-num&gt;&lt;urls&gt;&lt;related-urls&gt;&lt;url&gt;https://www.ncbi.nlm.nih.gov/pubmed/32856461&lt;/url&gt;&lt;/related-urls&gt;&lt;/urls&gt;&lt;electronic-resource-num&gt;10.2217/bmm-2019-0556&lt;/electronic-resource-num&gt;&lt;/record&gt;&lt;/Cite&gt;&lt;/EndNote&gt;</w:instrText>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7" w:tooltip="Jin, 2020 #46" w:history="1">
              <w:r w:rsidR="005A769C">
                <w:rPr>
                  <w:rFonts w:ascii="Calibri" w:eastAsia="Times New Roman" w:hAnsi="Calibri" w:cs="Calibri"/>
                  <w:noProof/>
                  <w:color w:val="000000"/>
                  <w:sz w:val="22"/>
                  <w:szCs w:val="22"/>
                </w:rPr>
                <w:t>7</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191A10BB" w14:textId="77777777" w:rsidTr="0070135C">
        <w:trPr>
          <w:trHeight w:val="320"/>
        </w:trPr>
        <w:tc>
          <w:tcPr>
            <w:tcW w:w="1300" w:type="dxa"/>
            <w:tcBorders>
              <w:top w:val="nil"/>
              <w:left w:val="nil"/>
              <w:bottom w:val="nil"/>
              <w:right w:val="nil"/>
            </w:tcBorders>
            <w:shd w:val="clear" w:color="auto" w:fill="auto"/>
            <w:noWrap/>
            <w:vAlign w:val="center"/>
            <w:hideMark/>
          </w:tcPr>
          <w:p w14:paraId="02061B6E"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BTD</w:t>
            </w:r>
          </w:p>
        </w:tc>
        <w:tc>
          <w:tcPr>
            <w:tcW w:w="1300" w:type="dxa"/>
            <w:tcBorders>
              <w:top w:val="nil"/>
              <w:left w:val="nil"/>
              <w:bottom w:val="nil"/>
              <w:right w:val="nil"/>
            </w:tcBorders>
            <w:shd w:val="clear" w:color="auto" w:fill="auto"/>
            <w:noWrap/>
            <w:vAlign w:val="center"/>
            <w:hideMark/>
          </w:tcPr>
          <w:p w14:paraId="3F56FFDC"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P43251</w:t>
            </w:r>
          </w:p>
        </w:tc>
        <w:tc>
          <w:tcPr>
            <w:tcW w:w="3740" w:type="dxa"/>
            <w:tcBorders>
              <w:top w:val="nil"/>
              <w:left w:val="nil"/>
              <w:bottom w:val="nil"/>
              <w:right w:val="nil"/>
            </w:tcBorders>
            <w:shd w:val="clear" w:color="auto" w:fill="auto"/>
            <w:noWrap/>
            <w:vAlign w:val="center"/>
            <w:hideMark/>
          </w:tcPr>
          <w:p w14:paraId="07A27DE9"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Biotinidase</w:t>
            </w:r>
          </w:p>
        </w:tc>
        <w:tc>
          <w:tcPr>
            <w:tcW w:w="1300" w:type="dxa"/>
            <w:tcBorders>
              <w:top w:val="nil"/>
              <w:left w:val="nil"/>
              <w:bottom w:val="nil"/>
              <w:right w:val="nil"/>
            </w:tcBorders>
            <w:shd w:val="clear" w:color="auto" w:fill="auto"/>
            <w:noWrap/>
            <w:vAlign w:val="center"/>
            <w:hideMark/>
          </w:tcPr>
          <w:p w14:paraId="7FC4F5BC"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nil"/>
              <w:right w:val="nil"/>
            </w:tcBorders>
            <w:shd w:val="clear" w:color="auto" w:fill="auto"/>
            <w:noWrap/>
            <w:vAlign w:val="center"/>
            <w:hideMark/>
          </w:tcPr>
          <w:p w14:paraId="42141FF0" w14:textId="3E083EB8"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r>
            <w:r w:rsidR="005A769C">
              <w:rPr>
                <w:rFonts w:ascii="Calibri" w:eastAsia="Times New Roman" w:hAnsi="Calibri" w:cs="Calibri"/>
                <w:color w:val="000000"/>
                <w:sz w:val="22"/>
                <w:szCs w:val="22"/>
              </w:rPr>
              <w:instrText xml:space="preserve"> ADDIN EN.CITE &lt;EndNote&gt;&lt;Cite&gt;&lt;Author&gt;Jin&lt;/Author&gt;&lt;Year&gt;2020&lt;/Year&gt;&lt;RecNum&gt;46&lt;/RecNum&gt;&lt;DisplayText&gt;(7)&lt;/DisplayText&gt;&lt;record&gt;&lt;rec-number&gt;46&lt;/rec-number&gt;&lt;foreign-keys&gt;&lt;key app="EN" db-id="0atfze5sdeawrve0tf2xffdzw2rfxrdpfwef" timestamp="1655481103"&gt;46&lt;/key&gt;&lt;/foreign-keys&gt;&lt;ref-type name="Journal Article"&gt;17&lt;/ref-type&gt;&lt;contributors&gt;&lt;authors&gt;&lt;author&gt;Jin, J.&lt;/author&gt;&lt;author&gt;Gong, J.&lt;/author&gt;&lt;author&gt;Zhao, L.&lt;/author&gt;&lt;author&gt;Li, Y.&lt;/author&gt;&lt;author&gt;Wang, Y.&lt;/author&gt;&lt;author&gt;He, Q.&lt;/author&gt;&lt;/authors&gt;&lt;/contributors&gt;&lt;auth-address&gt;Department of Nephrology, Zhejiang Provincial People&amp;apos;s Hospital, Zhejiang 310014, PR China.&amp;#xD;Department of Nephrology, People&amp;apos;s Hospital of Hangzhou Medical College, Zhejiang 310014, PR China.&amp;#xD;Key Laboratory of Kidney Disease of Traditional Chinese Medicine in Zhejiang Province, Zhejiang 310014, PR China.&lt;/auth-address&gt;&lt;titles&gt;&lt;title&gt;iTRAQ-based comparative proteomics analysis reveals specific urinary biomarkers for various kidney diseases&lt;/title&gt;&lt;secondary-title&gt;Biomark Med&lt;/secondary-title&gt;&lt;/titles&gt;&lt;periodical&gt;&lt;full-title&gt;Biomark Med&lt;/full-title&gt;&lt;/periodical&gt;&lt;pages&gt;839-854&lt;/pages&gt;&lt;volume&gt;14&lt;/volume&gt;&lt;number&gt;10&lt;/number&gt;&lt;edition&gt;20200828&lt;/edition&gt;&lt;keywords&gt;&lt;keyword&gt;Adult&lt;/keyword&gt;&lt;keyword&gt;Biomarkers/metabolism/*urine&lt;/keyword&gt;&lt;keyword&gt;Female&lt;/keyword&gt;&lt;keyword&gt;Humans&lt;/keyword&gt;&lt;keyword&gt;Kidney Diseases/metabolism/*urine&lt;/keyword&gt;&lt;keyword&gt;Male&lt;/keyword&gt;&lt;keyword&gt;*Proteomics&lt;/keyword&gt;&lt;keyword&gt;*biomarker discovery&lt;/keyword&gt;&lt;keyword&gt;*differentially expressed proteins&lt;/keyword&gt;&lt;keyword&gt;*kidney disease&lt;/keyword&gt;&lt;keyword&gt;*urinary proteomics&lt;/keyword&gt;&lt;/keywords&gt;&lt;dates&gt;&lt;year&gt;2020&lt;/year&gt;&lt;pub-dates&gt;&lt;date&gt;Jul&lt;/date&gt;&lt;/pub-dates&gt;&lt;/dates&gt;&lt;isbn&gt;1752-0371 (Electronic)&amp;#xD;1752-0363 (Linking)&lt;/isbn&gt;&lt;accession-num&gt;32856461&lt;/accession-num&gt;&lt;urls&gt;&lt;related-urls&gt;&lt;url&gt;https://www.ncbi.nlm.nih.gov/pubmed/32856461&lt;/url&gt;&lt;/related-urls&gt;&lt;/urls&gt;&lt;electronic-resource-num&gt;10.2217/bmm-2019-0556&lt;/electronic-resource-num&gt;&lt;/record&gt;&lt;/Cite&gt;&lt;/EndNote&gt;</w:instrText>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7" w:tooltip="Jin, 2020 #46" w:history="1">
              <w:r w:rsidR="005A769C">
                <w:rPr>
                  <w:rFonts w:ascii="Calibri" w:eastAsia="Times New Roman" w:hAnsi="Calibri" w:cs="Calibri"/>
                  <w:noProof/>
                  <w:color w:val="000000"/>
                  <w:sz w:val="22"/>
                  <w:szCs w:val="22"/>
                </w:rPr>
                <w:t>7</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23B98601" w14:textId="77777777" w:rsidTr="0070135C">
        <w:trPr>
          <w:trHeight w:val="320"/>
        </w:trPr>
        <w:tc>
          <w:tcPr>
            <w:tcW w:w="1300" w:type="dxa"/>
            <w:tcBorders>
              <w:top w:val="nil"/>
              <w:left w:val="nil"/>
              <w:bottom w:val="nil"/>
              <w:right w:val="nil"/>
            </w:tcBorders>
            <w:shd w:val="clear" w:color="auto" w:fill="auto"/>
            <w:noWrap/>
            <w:vAlign w:val="center"/>
            <w:hideMark/>
          </w:tcPr>
          <w:p w14:paraId="1800A7E8"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CYTB</w:t>
            </w:r>
          </w:p>
        </w:tc>
        <w:tc>
          <w:tcPr>
            <w:tcW w:w="1300" w:type="dxa"/>
            <w:tcBorders>
              <w:top w:val="nil"/>
              <w:left w:val="nil"/>
              <w:bottom w:val="nil"/>
              <w:right w:val="nil"/>
            </w:tcBorders>
            <w:shd w:val="clear" w:color="auto" w:fill="auto"/>
            <w:noWrap/>
            <w:vAlign w:val="center"/>
            <w:hideMark/>
          </w:tcPr>
          <w:p w14:paraId="6C363E2E"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P04080</w:t>
            </w:r>
          </w:p>
        </w:tc>
        <w:tc>
          <w:tcPr>
            <w:tcW w:w="3740" w:type="dxa"/>
            <w:tcBorders>
              <w:top w:val="nil"/>
              <w:left w:val="nil"/>
              <w:bottom w:val="nil"/>
              <w:right w:val="nil"/>
            </w:tcBorders>
            <w:shd w:val="clear" w:color="auto" w:fill="auto"/>
            <w:noWrap/>
            <w:vAlign w:val="center"/>
            <w:hideMark/>
          </w:tcPr>
          <w:p w14:paraId="77FC4ED0"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Cystatin-B</w:t>
            </w:r>
          </w:p>
        </w:tc>
        <w:tc>
          <w:tcPr>
            <w:tcW w:w="1300" w:type="dxa"/>
            <w:tcBorders>
              <w:top w:val="nil"/>
              <w:left w:val="nil"/>
              <w:bottom w:val="nil"/>
              <w:right w:val="nil"/>
            </w:tcBorders>
            <w:shd w:val="clear" w:color="auto" w:fill="auto"/>
            <w:noWrap/>
            <w:vAlign w:val="center"/>
            <w:hideMark/>
          </w:tcPr>
          <w:p w14:paraId="2568752E"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336423AD" w14:textId="64944104"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r>
            <w:r w:rsidR="005A769C">
              <w:rPr>
                <w:rFonts w:ascii="Calibri" w:eastAsia="Times New Roman" w:hAnsi="Calibri" w:cs="Calibri"/>
                <w:color w:val="000000"/>
                <w:sz w:val="22"/>
                <w:szCs w:val="22"/>
              </w:rPr>
              <w:instrText xml:space="preserve"> ADDIN EN.CITE &lt;EndNote&gt;&lt;Cite&gt;&lt;Author&gt;Jin&lt;/Author&gt;&lt;Year&gt;2020&lt;/Year&gt;&lt;RecNum&gt;46&lt;/RecNum&gt;&lt;DisplayText&gt;(7)&lt;/DisplayText&gt;&lt;record&gt;&lt;rec-number&gt;46&lt;/rec-number&gt;&lt;foreign-keys&gt;&lt;key app="EN" db-id="0atfze5sdeawrve0tf2xffdzw2rfxrdpfwef" timestamp="1655481103"&gt;46&lt;/key&gt;&lt;/foreign-keys&gt;&lt;ref-type name="Journal Article"&gt;17&lt;/ref-type&gt;&lt;contributors&gt;&lt;authors&gt;&lt;author&gt;Jin, J.&lt;/author&gt;&lt;author&gt;Gong, J.&lt;/author&gt;&lt;author&gt;Zhao, L.&lt;/author&gt;&lt;author&gt;Li, Y.&lt;/author&gt;&lt;author&gt;Wang, Y.&lt;/author&gt;&lt;author&gt;He, Q.&lt;/author&gt;&lt;/authors&gt;&lt;/contributors&gt;&lt;auth-address&gt;Department of Nephrology, Zhejiang Provincial People&amp;apos;s Hospital, Zhejiang 310014, PR China.&amp;#xD;Department of Nephrology, People&amp;apos;s Hospital of Hangzhou Medical College, Zhejiang 310014, PR China.&amp;#xD;Key Laboratory of Kidney Disease of Traditional Chinese Medicine in Zhejiang Province, Zhejiang 310014, PR China.&lt;/auth-address&gt;&lt;titles&gt;&lt;title&gt;iTRAQ-based comparative proteomics analysis reveals specific urinary biomarkers for various kidney diseases&lt;/title&gt;&lt;secondary-title&gt;Biomark Med&lt;/secondary-title&gt;&lt;/titles&gt;&lt;periodical&gt;&lt;full-title&gt;Biomark Med&lt;/full-title&gt;&lt;/periodical&gt;&lt;pages&gt;839-854&lt;/pages&gt;&lt;volume&gt;14&lt;/volume&gt;&lt;number&gt;10&lt;/number&gt;&lt;edition&gt;20200828&lt;/edition&gt;&lt;keywords&gt;&lt;keyword&gt;Adult&lt;/keyword&gt;&lt;keyword&gt;Biomarkers/metabolism/*urine&lt;/keyword&gt;&lt;keyword&gt;Female&lt;/keyword&gt;&lt;keyword&gt;Humans&lt;/keyword&gt;&lt;keyword&gt;Kidney Diseases/metabolism/*urine&lt;/keyword&gt;&lt;keyword&gt;Male&lt;/keyword&gt;&lt;keyword&gt;*Proteomics&lt;/keyword&gt;&lt;keyword&gt;*biomarker discovery&lt;/keyword&gt;&lt;keyword&gt;*differentially expressed proteins&lt;/keyword&gt;&lt;keyword&gt;*kidney disease&lt;/keyword&gt;&lt;keyword&gt;*urinary proteomics&lt;/keyword&gt;&lt;/keywords&gt;&lt;dates&gt;&lt;year&gt;2020&lt;/year&gt;&lt;pub-dates&gt;&lt;date&gt;Jul&lt;/date&gt;&lt;/pub-dates&gt;&lt;/dates&gt;&lt;isbn&gt;1752-0371 (Electronic)&amp;#xD;1752-0363 (Linking)&lt;/isbn&gt;&lt;accession-num&gt;32856461&lt;/accession-num&gt;&lt;urls&gt;&lt;related-urls&gt;&lt;url&gt;https://www.ncbi.nlm.nih.gov/pubmed/32856461&lt;/url&gt;&lt;/related-urls&gt;&lt;/urls&gt;&lt;electronic-resource-num&gt;10.2217/bmm-2019-0556&lt;/electronic-resource-num&gt;&lt;/record&gt;&lt;/Cite&gt;&lt;/EndNote&gt;</w:instrText>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7" w:tooltip="Jin, 2020 #46" w:history="1">
              <w:r w:rsidR="005A769C">
                <w:rPr>
                  <w:rFonts w:ascii="Calibri" w:eastAsia="Times New Roman" w:hAnsi="Calibri" w:cs="Calibri"/>
                  <w:noProof/>
                  <w:color w:val="000000"/>
                  <w:sz w:val="22"/>
                  <w:szCs w:val="22"/>
                </w:rPr>
                <w:t>7</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497E9F94" w14:textId="77777777" w:rsidTr="0070135C">
        <w:trPr>
          <w:trHeight w:val="320"/>
        </w:trPr>
        <w:tc>
          <w:tcPr>
            <w:tcW w:w="1300" w:type="dxa"/>
            <w:tcBorders>
              <w:top w:val="nil"/>
              <w:left w:val="nil"/>
              <w:bottom w:val="nil"/>
              <w:right w:val="nil"/>
            </w:tcBorders>
            <w:shd w:val="clear" w:color="auto" w:fill="auto"/>
            <w:noWrap/>
            <w:vAlign w:val="center"/>
            <w:hideMark/>
          </w:tcPr>
          <w:p w14:paraId="1F56AC42"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FHR1</w:t>
            </w:r>
          </w:p>
        </w:tc>
        <w:tc>
          <w:tcPr>
            <w:tcW w:w="1300" w:type="dxa"/>
            <w:tcBorders>
              <w:top w:val="nil"/>
              <w:left w:val="nil"/>
              <w:bottom w:val="nil"/>
              <w:right w:val="nil"/>
            </w:tcBorders>
            <w:shd w:val="clear" w:color="auto" w:fill="auto"/>
            <w:noWrap/>
            <w:vAlign w:val="center"/>
            <w:hideMark/>
          </w:tcPr>
          <w:p w14:paraId="5B1B15EC"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Q03591</w:t>
            </w:r>
          </w:p>
        </w:tc>
        <w:tc>
          <w:tcPr>
            <w:tcW w:w="3740" w:type="dxa"/>
            <w:tcBorders>
              <w:top w:val="nil"/>
              <w:left w:val="nil"/>
              <w:bottom w:val="nil"/>
              <w:right w:val="nil"/>
            </w:tcBorders>
            <w:shd w:val="clear" w:color="auto" w:fill="auto"/>
            <w:noWrap/>
            <w:vAlign w:val="center"/>
            <w:hideMark/>
          </w:tcPr>
          <w:p w14:paraId="3924F68C"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Complement factor H-related protein 1</w:t>
            </w:r>
          </w:p>
        </w:tc>
        <w:tc>
          <w:tcPr>
            <w:tcW w:w="1300" w:type="dxa"/>
            <w:tcBorders>
              <w:top w:val="nil"/>
              <w:left w:val="nil"/>
              <w:bottom w:val="nil"/>
              <w:right w:val="nil"/>
            </w:tcBorders>
            <w:shd w:val="clear" w:color="auto" w:fill="auto"/>
            <w:noWrap/>
            <w:vAlign w:val="center"/>
            <w:hideMark/>
          </w:tcPr>
          <w:p w14:paraId="5A131D58"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Higher</w:t>
            </w:r>
          </w:p>
        </w:tc>
        <w:tc>
          <w:tcPr>
            <w:tcW w:w="1300" w:type="dxa"/>
            <w:tcBorders>
              <w:top w:val="nil"/>
              <w:left w:val="nil"/>
              <w:bottom w:val="nil"/>
              <w:right w:val="nil"/>
            </w:tcBorders>
            <w:shd w:val="clear" w:color="auto" w:fill="auto"/>
            <w:noWrap/>
            <w:vAlign w:val="center"/>
            <w:hideMark/>
          </w:tcPr>
          <w:p w14:paraId="2A59938F" w14:textId="4D7167E9"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Lower </w:t>
            </w:r>
            <w:r w:rsidR="005A769C">
              <w:rPr>
                <w:rFonts w:ascii="Calibri" w:eastAsia="Times New Roman" w:hAnsi="Calibri" w:cs="Calibri"/>
                <w:color w:val="000000"/>
                <w:sz w:val="22"/>
                <w:szCs w:val="22"/>
              </w:rPr>
              <w:fldChar w:fldCharType="begin"/>
            </w:r>
            <w:r w:rsidR="005A769C">
              <w:rPr>
                <w:rFonts w:ascii="Calibri" w:eastAsia="Times New Roman" w:hAnsi="Calibri" w:cs="Calibri"/>
                <w:color w:val="000000"/>
                <w:sz w:val="22"/>
                <w:szCs w:val="22"/>
              </w:rPr>
              <w:instrText xml:space="preserve"> ADDIN EN.CITE &lt;EndNote&gt;&lt;Cite&gt;&lt;Author&gt;Jin&lt;/Author&gt;&lt;Year&gt;2020&lt;/Year&gt;&lt;RecNum&gt;46&lt;/RecNum&gt;&lt;DisplayText&gt;(7)&lt;/DisplayText&gt;&lt;record&gt;&lt;rec-number&gt;46&lt;/rec-number&gt;&lt;foreign-keys&gt;&lt;key app="EN" db-id="0atfze5sdeawrve0tf2xffdzw2rfxrdpfwef" timestamp="1655481103"&gt;46&lt;/key&gt;&lt;/foreign-keys&gt;&lt;ref-type name="Journal Article"&gt;17&lt;/ref-type&gt;&lt;contributors&gt;&lt;authors&gt;&lt;author&gt;Jin, J.&lt;/author&gt;&lt;author&gt;Gong, J.&lt;/author&gt;&lt;author&gt;Zhao, L.&lt;/author&gt;&lt;author&gt;Li, Y.&lt;/author&gt;&lt;author&gt;Wang, Y.&lt;/author&gt;&lt;author&gt;He, Q.&lt;/author&gt;&lt;/authors&gt;&lt;/contributors&gt;&lt;auth-address&gt;Department of Nephrology, Zhejiang Provincial People&amp;apos;s Hospital, Zhejiang 310014, PR China.&amp;#xD;Department of Nephrology, People&amp;apos;s Hospital of Hangzhou Medical College, Zhejiang 310014, PR China.&amp;#xD;Key Laboratory of Kidney Disease of Traditional Chinese Medicine in Zhejiang Province, Zhejiang 310014, PR China.&lt;/auth-address&gt;&lt;titles&gt;&lt;title&gt;iTRAQ-based comparative proteomics analysis reveals specific urinary biomarkers for various kidney diseases&lt;/title&gt;&lt;secondary-title&gt;Biomark Med&lt;/secondary-title&gt;&lt;/titles&gt;&lt;periodical&gt;&lt;full-title&gt;Biomark Med&lt;/full-title&gt;&lt;/periodical&gt;&lt;pages&gt;839-854&lt;/pages&gt;&lt;volume&gt;14&lt;/volume&gt;&lt;number&gt;10&lt;/number&gt;&lt;edition&gt;20200828&lt;/edition&gt;&lt;keywords&gt;&lt;keyword&gt;Adult&lt;/keyword&gt;&lt;keyword&gt;Biomarkers/metabolism/*urine&lt;/keyword&gt;&lt;keyword&gt;Female&lt;/keyword&gt;&lt;keyword&gt;Humans&lt;/keyword&gt;&lt;keyword&gt;Kidney Diseases/metabolism/*urine&lt;/keyword&gt;&lt;keyword&gt;Male&lt;/keyword&gt;&lt;keyword&gt;*Proteomics&lt;/keyword&gt;&lt;keyword&gt;*biomarker discovery&lt;/keyword&gt;&lt;keyword&gt;*differentially expressed proteins&lt;/keyword&gt;&lt;keyword&gt;*kidney disease&lt;/keyword&gt;&lt;keyword&gt;*urinary proteomics&lt;/keyword&gt;&lt;/keywords&gt;&lt;dates&gt;&lt;year&gt;2020&lt;/year&gt;&lt;pub-dates&gt;&lt;date&gt;Jul&lt;/date&gt;&lt;/pub-dates&gt;&lt;/dates&gt;&lt;isbn&gt;1752-0371 (Electronic)&amp;#xD;1752-0363 (Linking)&lt;/isbn&gt;&lt;accession-num&gt;32856461&lt;/accession-num&gt;&lt;urls&gt;&lt;related-urls&gt;&lt;url&gt;https://www.ncbi.nlm.nih.gov/pubmed/32856461&lt;/url&gt;&lt;/related-urls&gt;&lt;/urls&gt;&lt;electronic-resource-num&gt;10.2217/bmm-2019-0556&lt;/electronic-resource-num&gt;&lt;/record&gt;&lt;/Cite&gt;&lt;/EndNote&gt;</w:instrText>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7" w:tooltip="Jin, 2020 #46" w:history="1">
              <w:r w:rsidR="005A769C">
                <w:rPr>
                  <w:rFonts w:ascii="Calibri" w:eastAsia="Times New Roman" w:hAnsi="Calibri" w:cs="Calibri"/>
                  <w:noProof/>
                  <w:color w:val="000000"/>
                  <w:sz w:val="22"/>
                  <w:szCs w:val="22"/>
                </w:rPr>
                <w:t>7</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62FA4482" w14:textId="77777777" w:rsidTr="0070135C">
        <w:trPr>
          <w:trHeight w:val="340"/>
        </w:trPr>
        <w:tc>
          <w:tcPr>
            <w:tcW w:w="1300" w:type="dxa"/>
            <w:tcBorders>
              <w:top w:val="nil"/>
              <w:left w:val="nil"/>
              <w:bottom w:val="single" w:sz="8" w:space="0" w:color="auto"/>
              <w:right w:val="nil"/>
            </w:tcBorders>
            <w:shd w:val="clear" w:color="auto" w:fill="auto"/>
            <w:noWrap/>
            <w:vAlign w:val="center"/>
            <w:hideMark/>
          </w:tcPr>
          <w:p w14:paraId="19BCC74F"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SAMP</w:t>
            </w:r>
          </w:p>
        </w:tc>
        <w:tc>
          <w:tcPr>
            <w:tcW w:w="1300" w:type="dxa"/>
            <w:tcBorders>
              <w:top w:val="nil"/>
              <w:left w:val="nil"/>
              <w:bottom w:val="single" w:sz="8" w:space="0" w:color="auto"/>
              <w:right w:val="nil"/>
            </w:tcBorders>
            <w:shd w:val="clear" w:color="auto" w:fill="auto"/>
            <w:noWrap/>
            <w:vAlign w:val="center"/>
            <w:hideMark/>
          </w:tcPr>
          <w:p w14:paraId="7A36F3AB"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P02743</w:t>
            </w:r>
          </w:p>
        </w:tc>
        <w:tc>
          <w:tcPr>
            <w:tcW w:w="3740" w:type="dxa"/>
            <w:tcBorders>
              <w:top w:val="nil"/>
              <w:left w:val="nil"/>
              <w:bottom w:val="single" w:sz="8" w:space="0" w:color="auto"/>
              <w:right w:val="nil"/>
            </w:tcBorders>
            <w:shd w:val="clear" w:color="auto" w:fill="auto"/>
            <w:noWrap/>
            <w:vAlign w:val="center"/>
            <w:hideMark/>
          </w:tcPr>
          <w:p w14:paraId="292EDC63"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Serum amyloid P-component</w:t>
            </w:r>
          </w:p>
        </w:tc>
        <w:tc>
          <w:tcPr>
            <w:tcW w:w="1300" w:type="dxa"/>
            <w:tcBorders>
              <w:top w:val="nil"/>
              <w:left w:val="nil"/>
              <w:bottom w:val="single" w:sz="8" w:space="0" w:color="auto"/>
              <w:right w:val="nil"/>
            </w:tcBorders>
            <w:shd w:val="clear" w:color="auto" w:fill="auto"/>
            <w:noWrap/>
            <w:vAlign w:val="center"/>
            <w:hideMark/>
          </w:tcPr>
          <w:p w14:paraId="05C97FC9" w14:textId="77777777"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Lower</w:t>
            </w:r>
          </w:p>
        </w:tc>
        <w:tc>
          <w:tcPr>
            <w:tcW w:w="1300" w:type="dxa"/>
            <w:tcBorders>
              <w:top w:val="nil"/>
              <w:left w:val="nil"/>
              <w:bottom w:val="single" w:sz="8" w:space="0" w:color="auto"/>
              <w:right w:val="nil"/>
            </w:tcBorders>
            <w:shd w:val="clear" w:color="auto" w:fill="auto"/>
            <w:noWrap/>
            <w:vAlign w:val="center"/>
            <w:hideMark/>
          </w:tcPr>
          <w:p w14:paraId="1E37EFE1" w14:textId="2731AAAA" w:rsidR="00CC20C0" w:rsidRPr="00AA4759" w:rsidRDefault="00CC20C0" w:rsidP="0070135C">
            <w:pPr>
              <w:jc w:val="center"/>
              <w:rPr>
                <w:rFonts w:ascii="Calibri" w:eastAsia="Times New Roman" w:hAnsi="Calibri" w:cs="Calibri"/>
                <w:color w:val="000000"/>
                <w:sz w:val="22"/>
                <w:szCs w:val="22"/>
              </w:rPr>
            </w:pPr>
            <w:r w:rsidRPr="00AA4759">
              <w:rPr>
                <w:rFonts w:ascii="Calibri" w:eastAsia="Times New Roman" w:hAnsi="Calibri" w:cs="Calibri"/>
                <w:color w:val="000000"/>
                <w:sz w:val="22"/>
                <w:szCs w:val="22"/>
              </w:rPr>
              <w:t xml:space="preserve">Higher </w:t>
            </w:r>
            <w:r w:rsidR="005A769C">
              <w:rPr>
                <w:rFonts w:ascii="Calibri" w:eastAsia="Times New Roman" w:hAnsi="Calibri" w:cs="Calibri"/>
                <w:color w:val="000000"/>
                <w:sz w:val="22"/>
                <w:szCs w:val="22"/>
              </w:rPr>
              <w:fldChar w:fldCharType="begin"/>
            </w:r>
            <w:r w:rsidR="005A769C">
              <w:rPr>
                <w:rFonts w:ascii="Calibri" w:eastAsia="Times New Roman" w:hAnsi="Calibri" w:cs="Calibri"/>
                <w:color w:val="000000"/>
                <w:sz w:val="22"/>
                <w:szCs w:val="22"/>
              </w:rPr>
              <w:instrText xml:space="preserve"> ADDIN EN.CITE &lt;EndNote&gt;&lt;Cite&gt;&lt;Author&gt;Jin&lt;/Author&gt;&lt;Year&gt;2020&lt;/Year&gt;&lt;RecNum&gt;46&lt;/RecNum&gt;&lt;DisplayText&gt;(7)&lt;/DisplayText&gt;&lt;record&gt;&lt;rec-number&gt;46&lt;/rec-number&gt;&lt;foreign-keys&gt;&lt;key app="EN" db-id="0atfze5sdeawrve0tf2xffdzw2rfxrdpfwef" timestamp="1655481103"&gt;46&lt;/key&gt;&lt;/foreign-keys&gt;&lt;ref-type name="Journal Article"&gt;17&lt;/ref-type&gt;&lt;contributors&gt;&lt;authors&gt;&lt;author&gt;Jin, J.&lt;/author&gt;&lt;author&gt;Gong, J.&lt;/author&gt;&lt;author&gt;Zhao, L.&lt;/author&gt;&lt;author&gt;Li, Y.&lt;/author&gt;&lt;author&gt;Wang, Y.&lt;/author&gt;&lt;author&gt;He, Q.&lt;/author&gt;&lt;/authors&gt;&lt;/contributors&gt;&lt;auth-address&gt;Department of Nephrology, Zhejiang Provincial People&amp;apos;s Hospital, Zhejiang 310014, PR China.&amp;#xD;Department of Nephrology, People&amp;apos;s Hospital of Hangzhou Medical College, Zhejiang 310014, PR China.&amp;#xD;Key Laboratory of Kidney Disease of Traditional Chinese Medicine in Zhejiang Province, Zhejiang 310014, PR China.&lt;/auth-address&gt;&lt;titles&gt;&lt;title&gt;iTRAQ-based comparative proteomics analysis reveals specific urinary biomarkers for various kidney diseases&lt;/title&gt;&lt;secondary-title&gt;Biomark Med&lt;/secondary-title&gt;&lt;/titles&gt;&lt;periodical&gt;&lt;full-title&gt;Biomark Med&lt;/full-title&gt;&lt;/periodical&gt;&lt;pages&gt;839-854&lt;/pages&gt;&lt;volume&gt;14&lt;/volume&gt;&lt;number&gt;10&lt;/number&gt;&lt;edition&gt;20200828&lt;/edition&gt;&lt;keywords&gt;&lt;keyword&gt;Adult&lt;/keyword&gt;&lt;keyword&gt;Biomarkers/metabolism/*urine&lt;/keyword&gt;&lt;keyword&gt;Female&lt;/keyword&gt;&lt;keyword&gt;Humans&lt;/keyword&gt;&lt;keyword&gt;Kidney Diseases/metabolism/*urine&lt;/keyword&gt;&lt;keyword&gt;Male&lt;/keyword&gt;&lt;keyword&gt;*Proteomics&lt;/keyword&gt;&lt;keyword&gt;*biomarker discovery&lt;/keyword&gt;&lt;keyword&gt;*differentially expressed proteins&lt;/keyword&gt;&lt;keyword&gt;*kidney disease&lt;/keyword&gt;&lt;keyword&gt;*urinary proteomics&lt;/keyword&gt;&lt;/keywords&gt;&lt;dates&gt;&lt;year&gt;2020&lt;/year&gt;&lt;pub-dates&gt;&lt;date&gt;Jul&lt;/date&gt;&lt;/pub-dates&gt;&lt;/dates&gt;&lt;isbn&gt;1752-0371 (Electronic)&amp;#xD;1752-0363 (Linking)&lt;/isbn&gt;&lt;accession-num&gt;32856461&lt;/accession-num&gt;&lt;urls&gt;&lt;related-urls&gt;&lt;url&gt;https://www.ncbi.nlm.nih.gov/pubmed/32856461&lt;/url&gt;&lt;/related-urls&gt;&lt;/urls&gt;&lt;electronic-resource-num&gt;10.2217/bmm-2019-0556&lt;/electronic-resource-num&gt;&lt;/record&gt;&lt;/Cite&gt;&lt;/EndNote&gt;</w:instrText>
            </w:r>
            <w:r w:rsidR="005A769C">
              <w:rPr>
                <w:rFonts w:ascii="Calibri" w:eastAsia="Times New Roman" w:hAnsi="Calibri" w:cs="Calibri"/>
                <w:color w:val="000000"/>
                <w:sz w:val="22"/>
                <w:szCs w:val="22"/>
              </w:rPr>
              <w:fldChar w:fldCharType="separate"/>
            </w:r>
            <w:r w:rsidR="005A769C">
              <w:rPr>
                <w:rFonts w:ascii="Calibri" w:eastAsia="Times New Roman" w:hAnsi="Calibri" w:cs="Calibri"/>
                <w:noProof/>
                <w:color w:val="000000"/>
                <w:sz w:val="22"/>
                <w:szCs w:val="22"/>
              </w:rPr>
              <w:t>(</w:t>
            </w:r>
            <w:hyperlink w:anchor="_ENREF_7" w:tooltip="Jin, 2020 #46" w:history="1">
              <w:r w:rsidR="005A769C">
                <w:rPr>
                  <w:rFonts w:ascii="Calibri" w:eastAsia="Times New Roman" w:hAnsi="Calibri" w:cs="Calibri"/>
                  <w:noProof/>
                  <w:color w:val="000000"/>
                  <w:sz w:val="22"/>
                  <w:szCs w:val="22"/>
                </w:rPr>
                <w:t>7</w:t>
              </w:r>
            </w:hyperlink>
            <w:r w:rsidR="005A769C">
              <w:rPr>
                <w:rFonts w:ascii="Calibri" w:eastAsia="Times New Roman" w:hAnsi="Calibri" w:cs="Calibri"/>
                <w:noProof/>
                <w:color w:val="000000"/>
                <w:sz w:val="22"/>
                <w:szCs w:val="22"/>
              </w:rPr>
              <w:t>)</w:t>
            </w:r>
            <w:r w:rsidR="005A769C">
              <w:rPr>
                <w:rFonts w:ascii="Calibri" w:eastAsia="Times New Roman" w:hAnsi="Calibri" w:cs="Calibri"/>
                <w:color w:val="000000"/>
                <w:sz w:val="22"/>
                <w:szCs w:val="22"/>
              </w:rPr>
              <w:fldChar w:fldCharType="end"/>
            </w:r>
          </w:p>
        </w:tc>
      </w:tr>
      <w:tr w:rsidR="00CC20C0" w:rsidRPr="00AA4759" w14:paraId="7961BFDF" w14:textId="77777777" w:rsidTr="0070135C">
        <w:trPr>
          <w:trHeight w:val="340"/>
        </w:trPr>
        <w:tc>
          <w:tcPr>
            <w:tcW w:w="8940" w:type="dxa"/>
            <w:gridSpan w:val="5"/>
            <w:tcBorders>
              <w:top w:val="single" w:sz="8" w:space="0" w:color="auto"/>
              <w:left w:val="nil"/>
              <w:bottom w:val="single" w:sz="8" w:space="0" w:color="auto"/>
              <w:right w:val="nil"/>
            </w:tcBorders>
            <w:shd w:val="clear" w:color="auto" w:fill="auto"/>
            <w:noWrap/>
            <w:vAlign w:val="center"/>
            <w:hideMark/>
          </w:tcPr>
          <w:p w14:paraId="36230ACA" w14:textId="77777777" w:rsidR="00CC20C0" w:rsidRPr="00AA4759" w:rsidRDefault="00CC20C0" w:rsidP="0070135C">
            <w:pPr>
              <w:rPr>
                <w:rFonts w:ascii="Calibri" w:eastAsia="Times New Roman" w:hAnsi="Calibri" w:cs="Calibri"/>
                <w:color w:val="000000"/>
                <w:sz w:val="22"/>
                <w:szCs w:val="22"/>
              </w:rPr>
            </w:pPr>
            <w:r w:rsidRPr="00AA4759">
              <w:rPr>
                <w:rFonts w:ascii="Calibri" w:eastAsia="Times New Roman" w:hAnsi="Calibri" w:cs="Calibri"/>
                <w:color w:val="000000"/>
                <w:sz w:val="22"/>
                <w:szCs w:val="22"/>
              </w:rPr>
              <w:t>CKD, chronic kidney disease; DKD, diabetic kidney disease;  </w:t>
            </w:r>
          </w:p>
        </w:tc>
      </w:tr>
    </w:tbl>
    <w:p w14:paraId="54CFE598" w14:textId="46A7E610" w:rsidR="00CC20C0" w:rsidRDefault="00CC20C0" w:rsidP="00CC20C0">
      <w:r>
        <w:t>Table S4: List of proteins that have a urinary abundance profile in CKDu patients opposite to that in CKD patients.</w:t>
      </w:r>
    </w:p>
    <w:p w14:paraId="3231D898" w14:textId="77777777" w:rsidR="00CC20C0" w:rsidRDefault="00CC20C0" w:rsidP="00CC20C0"/>
    <w:p w14:paraId="4FAF7A66" w14:textId="19F76D54" w:rsidR="0066147D" w:rsidRDefault="0066147D" w:rsidP="00697B88">
      <w:pPr>
        <w:tabs>
          <w:tab w:val="left" w:pos="1890"/>
        </w:tabs>
        <w:spacing w:line="276" w:lineRule="auto"/>
        <w:jc w:val="both"/>
        <w:rPr>
          <w:rFonts w:ascii="Arial" w:hAnsi="Arial" w:cs="Arial"/>
          <w:sz w:val="22"/>
          <w:szCs w:val="22"/>
        </w:rPr>
      </w:pPr>
    </w:p>
    <w:p w14:paraId="4429F3ED" w14:textId="187F9EB8" w:rsidR="0066147D" w:rsidRDefault="0066147D" w:rsidP="00697B88">
      <w:pPr>
        <w:tabs>
          <w:tab w:val="left" w:pos="1890"/>
        </w:tabs>
        <w:spacing w:line="276" w:lineRule="auto"/>
        <w:jc w:val="both"/>
        <w:rPr>
          <w:rFonts w:ascii="Arial" w:hAnsi="Arial" w:cs="Arial"/>
          <w:sz w:val="22"/>
          <w:szCs w:val="22"/>
        </w:rPr>
      </w:pPr>
    </w:p>
    <w:p w14:paraId="72F8C797" w14:textId="4D0DE863" w:rsidR="0066147D" w:rsidRDefault="0066147D" w:rsidP="00697B88">
      <w:pPr>
        <w:tabs>
          <w:tab w:val="left" w:pos="1890"/>
        </w:tabs>
        <w:spacing w:line="276" w:lineRule="auto"/>
        <w:jc w:val="both"/>
        <w:rPr>
          <w:rFonts w:ascii="Arial" w:hAnsi="Arial" w:cs="Arial"/>
          <w:sz w:val="22"/>
          <w:szCs w:val="22"/>
        </w:rPr>
      </w:pPr>
    </w:p>
    <w:p w14:paraId="07C6714C" w14:textId="77777777" w:rsidR="002B6236" w:rsidRDefault="002B6236" w:rsidP="00697B88">
      <w:pPr>
        <w:tabs>
          <w:tab w:val="left" w:pos="1890"/>
        </w:tabs>
        <w:spacing w:line="276" w:lineRule="auto"/>
        <w:jc w:val="both"/>
        <w:rPr>
          <w:rFonts w:ascii="Arial" w:hAnsi="Arial" w:cs="Arial"/>
          <w:sz w:val="22"/>
          <w:szCs w:val="22"/>
        </w:rPr>
      </w:pPr>
    </w:p>
    <w:p w14:paraId="70E67821" w14:textId="77777777" w:rsidR="002B6236" w:rsidRDefault="002B6236" w:rsidP="00697B88">
      <w:pPr>
        <w:tabs>
          <w:tab w:val="left" w:pos="1890"/>
        </w:tabs>
        <w:spacing w:line="276" w:lineRule="auto"/>
        <w:jc w:val="both"/>
        <w:rPr>
          <w:rFonts w:ascii="Arial" w:hAnsi="Arial" w:cs="Arial"/>
          <w:sz w:val="22"/>
          <w:szCs w:val="22"/>
        </w:rPr>
      </w:pPr>
    </w:p>
    <w:p w14:paraId="6A6275F7" w14:textId="77777777" w:rsidR="002B6236" w:rsidRDefault="002B6236" w:rsidP="00697B88">
      <w:pPr>
        <w:tabs>
          <w:tab w:val="left" w:pos="1890"/>
        </w:tabs>
        <w:spacing w:line="276" w:lineRule="auto"/>
        <w:jc w:val="both"/>
        <w:rPr>
          <w:rFonts w:ascii="Arial" w:hAnsi="Arial" w:cs="Arial"/>
          <w:sz w:val="22"/>
          <w:szCs w:val="22"/>
        </w:rPr>
      </w:pPr>
    </w:p>
    <w:p w14:paraId="680FDDF0" w14:textId="77777777" w:rsidR="002B6236" w:rsidRDefault="002B6236" w:rsidP="00697B88">
      <w:pPr>
        <w:tabs>
          <w:tab w:val="left" w:pos="1890"/>
        </w:tabs>
        <w:spacing w:line="276" w:lineRule="auto"/>
        <w:jc w:val="both"/>
        <w:rPr>
          <w:rFonts w:ascii="Arial" w:hAnsi="Arial" w:cs="Arial"/>
          <w:sz w:val="22"/>
          <w:szCs w:val="22"/>
        </w:rPr>
      </w:pPr>
    </w:p>
    <w:p w14:paraId="0CBFFE6E" w14:textId="77777777" w:rsidR="002B6236" w:rsidRDefault="002B6236" w:rsidP="00697B88">
      <w:pPr>
        <w:tabs>
          <w:tab w:val="left" w:pos="1890"/>
        </w:tabs>
        <w:spacing w:line="276" w:lineRule="auto"/>
        <w:jc w:val="both"/>
        <w:rPr>
          <w:rFonts w:ascii="Arial" w:hAnsi="Arial" w:cs="Arial"/>
          <w:sz w:val="22"/>
          <w:szCs w:val="22"/>
        </w:rPr>
      </w:pPr>
    </w:p>
    <w:p w14:paraId="0AD6D3CE" w14:textId="77777777" w:rsidR="002B6236" w:rsidRDefault="002B6236" w:rsidP="00697B88">
      <w:pPr>
        <w:tabs>
          <w:tab w:val="left" w:pos="1890"/>
        </w:tabs>
        <w:spacing w:line="276" w:lineRule="auto"/>
        <w:jc w:val="both"/>
        <w:rPr>
          <w:rFonts w:ascii="Arial" w:hAnsi="Arial" w:cs="Arial"/>
          <w:sz w:val="22"/>
          <w:szCs w:val="22"/>
        </w:rPr>
      </w:pPr>
    </w:p>
    <w:p w14:paraId="7CB7D076" w14:textId="77777777" w:rsidR="002B6236" w:rsidRDefault="002B6236" w:rsidP="00697B88">
      <w:pPr>
        <w:tabs>
          <w:tab w:val="left" w:pos="1890"/>
        </w:tabs>
        <w:spacing w:line="276" w:lineRule="auto"/>
        <w:jc w:val="both"/>
        <w:rPr>
          <w:rFonts w:ascii="Arial" w:hAnsi="Arial" w:cs="Arial"/>
          <w:sz w:val="22"/>
          <w:szCs w:val="22"/>
        </w:rPr>
      </w:pPr>
    </w:p>
    <w:p w14:paraId="2998F39C" w14:textId="6E884479" w:rsidR="0066147D" w:rsidRDefault="0066147D" w:rsidP="00697B88">
      <w:pPr>
        <w:tabs>
          <w:tab w:val="left" w:pos="1890"/>
        </w:tabs>
        <w:spacing w:line="276" w:lineRule="auto"/>
        <w:jc w:val="both"/>
        <w:rPr>
          <w:rFonts w:ascii="Arial" w:hAnsi="Arial" w:cs="Arial"/>
          <w:sz w:val="22"/>
          <w:szCs w:val="22"/>
        </w:rPr>
      </w:pPr>
      <w:r>
        <w:rPr>
          <w:rFonts w:ascii="Arial" w:hAnsi="Arial" w:cs="Arial"/>
          <w:sz w:val="22"/>
          <w:szCs w:val="22"/>
        </w:rPr>
        <w:lastRenderedPageBreak/>
        <w:t>Table S</w:t>
      </w:r>
      <w:r w:rsidR="00CC20C0">
        <w:rPr>
          <w:rFonts w:ascii="Arial" w:hAnsi="Arial" w:cs="Arial"/>
          <w:sz w:val="22"/>
          <w:szCs w:val="22"/>
        </w:rPr>
        <w:t>5</w:t>
      </w:r>
      <w:r>
        <w:rPr>
          <w:rFonts w:ascii="Arial" w:hAnsi="Arial" w:cs="Arial"/>
          <w:sz w:val="22"/>
          <w:szCs w:val="22"/>
        </w:rPr>
        <w:t xml:space="preserve">. </w:t>
      </w:r>
      <w:r w:rsidR="00887725">
        <w:rPr>
          <w:rFonts w:ascii="Arial" w:hAnsi="Arial" w:cs="Arial"/>
          <w:sz w:val="22"/>
          <w:szCs w:val="22"/>
        </w:rPr>
        <w:t>Functional annotation results from DAVID’s tissue and cell type expression analysis</w:t>
      </w:r>
    </w:p>
    <w:p w14:paraId="4C1180C8" w14:textId="77777777" w:rsidR="0066147D" w:rsidRDefault="0066147D" w:rsidP="00697B88">
      <w:pPr>
        <w:tabs>
          <w:tab w:val="left" w:pos="1890"/>
        </w:tabs>
        <w:spacing w:line="276" w:lineRule="auto"/>
        <w:jc w:val="both"/>
        <w:rPr>
          <w:rFonts w:ascii="Arial" w:hAnsi="Arial" w:cs="Arial"/>
          <w:sz w:val="22"/>
          <w:szCs w:val="22"/>
        </w:rPr>
      </w:pPr>
    </w:p>
    <w:tbl>
      <w:tblPr>
        <w:tblW w:w="9960" w:type="dxa"/>
        <w:tblLook w:val="04A0" w:firstRow="1" w:lastRow="0" w:firstColumn="1" w:lastColumn="0" w:noHBand="0" w:noVBand="1"/>
      </w:tblPr>
      <w:tblGrid>
        <w:gridCol w:w="997"/>
        <w:gridCol w:w="3981"/>
        <w:gridCol w:w="906"/>
        <w:gridCol w:w="1502"/>
        <w:gridCol w:w="1287"/>
        <w:gridCol w:w="1287"/>
      </w:tblGrid>
      <w:tr w:rsidR="0066147D" w:rsidRPr="0066147D" w14:paraId="63B26B59" w14:textId="77777777" w:rsidTr="0066147D">
        <w:trPr>
          <w:trHeight w:val="440"/>
        </w:trPr>
        <w:tc>
          <w:tcPr>
            <w:tcW w:w="9960" w:type="dxa"/>
            <w:gridSpan w:val="6"/>
            <w:tcBorders>
              <w:top w:val="single" w:sz="4" w:space="0" w:color="auto"/>
              <w:left w:val="nil"/>
              <w:bottom w:val="single" w:sz="4" w:space="0" w:color="auto"/>
              <w:right w:val="nil"/>
            </w:tcBorders>
            <w:shd w:val="clear" w:color="auto" w:fill="auto"/>
            <w:noWrap/>
            <w:vAlign w:val="center"/>
            <w:hideMark/>
          </w:tcPr>
          <w:p w14:paraId="5DB0D39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Functional Annotation Chart</w:t>
            </w:r>
          </w:p>
        </w:tc>
      </w:tr>
      <w:tr w:rsidR="0066147D" w:rsidRPr="0066147D" w14:paraId="1423DE6C" w14:textId="77777777" w:rsidTr="0066147D">
        <w:trPr>
          <w:trHeight w:val="320"/>
        </w:trPr>
        <w:tc>
          <w:tcPr>
            <w:tcW w:w="997" w:type="dxa"/>
            <w:tcBorders>
              <w:top w:val="nil"/>
              <w:left w:val="nil"/>
              <w:bottom w:val="single" w:sz="4" w:space="0" w:color="auto"/>
              <w:right w:val="nil"/>
            </w:tcBorders>
            <w:shd w:val="clear" w:color="auto" w:fill="auto"/>
            <w:noWrap/>
            <w:vAlign w:val="center"/>
            <w:hideMark/>
          </w:tcPr>
          <w:p w14:paraId="4ECD1C35"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Tissue</w:t>
            </w:r>
          </w:p>
        </w:tc>
        <w:tc>
          <w:tcPr>
            <w:tcW w:w="3981" w:type="dxa"/>
            <w:tcBorders>
              <w:top w:val="nil"/>
              <w:left w:val="nil"/>
              <w:bottom w:val="single" w:sz="4" w:space="0" w:color="auto"/>
              <w:right w:val="nil"/>
            </w:tcBorders>
            <w:shd w:val="clear" w:color="auto" w:fill="auto"/>
            <w:noWrap/>
            <w:vAlign w:val="center"/>
            <w:hideMark/>
          </w:tcPr>
          <w:p w14:paraId="2DC00628"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Cell-type</w:t>
            </w:r>
          </w:p>
        </w:tc>
        <w:tc>
          <w:tcPr>
            <w:tcW w:w="906" w:type="dxa"/>
            <w:tcBorders>
              <w:top w:val="nil"/>
              <w:left w:val="nil"/>
              <w:bottom w:val="single" w:sz="4" w:space="0" w:color="auto"/>
              <w:right w:val="nil"/>
            </w:tcBorders>
            <w:shd w:val="clear" w:color="auto" w:fill="auto"/>
            <w:noWrap/>
            <w:vAlign w:val="bottom"/>
            <w:hideMark/>
          </w:tcPr>
          <w:p w14:paraId="3AB8EB66"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Count</w:t>
            </w:r>
          </w:p>
        </w:tc>
        <w:tc>
          <w:tcPr>
            <w:tcW w:w="1502" w:type="dxa"/>
            <w:tcBorders>
              <w:top w:val="nil"/>
              <w:left w:val="nil"/>
              <w:bottom w:val="single" w:sz="4" w:space="0" w:color="auto"/>
              <w:right w:val="nil"/>
            </w:tcBorders>
            <w:shd w:val="clear" w:color="auto" w:fill="auto"/>
            <w:noWrap/>
            <w:vAlign w:val="bottom"/>
            <w:hideMark/>
          </w:tcPr>
          <w:p w14:paraId="632B6ABD"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 of DAPs</w:t>
            </w:r>
          </w:p>
        </w:tc>
        <w:tc>
          <w:tcPr>
            <w:tcW w:w="1287" w:type="dxa"/>
            <w:tcBorders>
              <w:top w:val="nil"/>
              <w:left w:val="nil"/>
              <w:bottom w:val="single" w:sz="4" w:space="0" w:color="auto"/>
              <w:right w:val="nil"/>
            </w:tcBorders>
            <w:shd w:val="clear" w:color="auto" w:fill="auto"/>
            <w:noWrap/>
            <w:vAlign w:val="bottom"/>
            <w:hideMark/>
          </w:tcPr>
          <w:p w14:paraId="13AAC7D4"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P-value</w:t>
            </w:r>
          </w:p>
        </w:tc>
        <w:tc>
          <w:tcPr>
            <w:tcW w:w="1287" w:type="dxa"/>
            <w:tcBorders>
              <w:top w:val="nil"/>
              <w:left w:val="nil"/>
              <w:bottom w:val="single" w:sz="4" w:space="0" w:color="auto"/>
              <w:right w:val="nil"/>
            </w:tcBorders>
            <w:shd w:val="clear" w:color="auto" w:fill="auto"/>
            <w:noWrap/>
            <w:vAlign w:val="bottom"/>
            <w:hideMark/>
          </w:tcPr>
          <w:p w14:paraId="19C0CA76"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FDR</w:t>
            </w:r>
          </w:p>
        </w:tc>
      </w:tr>
      <w:tr w:rsidR="0066147D" w:rsidRPr="0066147D" w14:paraId="57CB41AE" w14:textId="77777777" w:rsidTr="0066147D">
        <w:trPr>
          <w:trHeight w:val="320"/>
        </w:trPr>
        <w:tc>
          <w:tcPr>
            <w:tcW w:w="997" w:type="dxa"/>
            <w:tcBorders>
              <w:top w:val="nil"/>
              <w:left w:val="nil"/>
              <w:bottom w:val="nil"/>
              <w:right w:val="nil"/>
            </w:tcBorders>
            <w:shd w:val="clear" w:color="auto" w:fill="auto"/>
            <w:noWrap/>
            <w:vAlign w:val="center"/>
            <w:hideMark/>
          </w:tcPr>
          <w:p w14:paraId="3F1888A3"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center"/>
            <w:hideMark/>
          </w:tcPr>
          <w:p w14:paraId="2B3E9FEC"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Proximal tubules (cell body)</w:t>
            </w:r>
          </w:p>
        </w:tc>
        <w:tc>
          <w:tcPr>
            <w:tcW w:w="906" w:type="dxa"/>
            <w:tcBorders>
              <w:top w:val="nil"/>
              <w:left w:val="nil"/>
              <w:bottom w:val="nil"/>
              <w:right w:val="nil"/>
            </w:tcBorders>
            <w:shd w:val="clear" w:color="auto" w:fill="auto"/>
            <w:noWrap/>
            <w:vAlign w:val="bottom"/>
            <w:hideMark/>
          </w:tcPr>
          <w:p w14:paraId="1C89D7E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124</w:t>
            </w:r>
          </w:p>
        </w:tc>
        <w:tc>
          <w:tcPr>
            <w:tcW w:w="1502" w:type="dxa"/>
            <w:tcBorders>
              <w:top w:val="nil"/>
              <w:left w:val="nil"/>
              <w:bottom w:val="nil"/>
              <w:right w:val="nil"/>
            </w:tcBorders>
            <w:shd w:val="clear" w:color="auto" w:fill="auto"/>
            <w:noWrap/>
            <w:vAlign w:val="bottom"/>
            <w:hideMark/>
          </w:tcPr>
          <w:p w14:paraId="6F2BC6F3"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13.03</w:t>
            </w:r>
          </w:p>
        </w:tc>
        <w:tc>
          <w:tcPr>
            <w:tcW w:w="1287" w:type="dxa"/>
            <w:tcBorders>
              <w:top w:val="nil"/>
              <w:left w:val="nil"/>
              <w:bottom w:val="nil"/>
              <w:right w:val="nil"/>
            </w:tcBorders>
            <w:shd w:val="clear" w:color="auto" w:fill="auto"/>
            <w:noWrap/>
            <w:vAlign w:val="bottom"/>
            <w:hideMark/>
          </w:tcPr>
          <w:p w14:paraId="7D7C4DE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3.15E-28</w:t>
            </w:r>
          </w:p>
        </w:tc>
        <w:tc>
          <w:tcPr>
            <w:tcW w:w="1287" w:type="dxa"/>
            <w:tcBorders>
              <w:top w:val="nil"/>
              <w:left w:val="nil"/>
              <w:bottom w:val="nil"/>
              <w:right w:val="nil"/>
            </w:tcBorders>
            <w:shd w:val="clear" w:color="auto" w:fill="auto"/>
            <w:noWrap/>
            <w:vAlign w:val="bottom"/>
            <w:hideMark/>
          </w:tcPr>
          <w:p w14:paraId="24C5EAB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4.76E-26</w:t>
            </w:r>
          </w:p>
        </w:tc>
      </w:tr>
      <w:tr w:rsidR="0066147D" w:rsidRPr="0066147D" w14:paraId="10A16A39" w14:textId="77777777" w:rsidTr="0066147D">
        <w:trPr>
          <w:trHeight w:val="320"/>
        </w:trPr>
        <w:tc>
          <w:tcPr>
            <w:tcW w:w="997" w:type="dxa"/>
            <w:tcBorders>
              <w:top w:val="nil"/>
              <w:left w:val="nil"/>
              <w:bottom w:val="nil"/>
              <w:right w:val="nil"/>
            </w:tcBorders>
            <w:shd w:val="clear" w:color="auto" w:fill="auto"/>
            <w:noWrap/>
            <w:vAlign w:val="center"/>
            <w:hideMark/>
          </w:tcPr>
          <w:p w14:paraId="2BA39511"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1</w:t>
            </w:r>
          </w:p>
        </w:tc>
        <w:tc>
          <w:tcPr>
            <w:tcW w:w="3981" w:type="dxa"/>
            <w:tcBorders>
              <w:top w:val="nil"/>
              <w:left w:val="nil"/>
              <w:bottom w:val="nil"/>
              <w:right w:val="nil"/>
            </w:tcBorders>
            <w:shd w:val="clear" w:color="auto" w:fill="auto"/>
            <w:noWrap/>
            <w:vAlign w:val="center"/>
            <w:hideMark/>
          </w:tcPr>
          <w:p w14:paraId="3D9A7362"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Fibrohistiocytic cells</w:t>
            </w:r>
          </w:p>
        </w:tc>
        <w:tc>
          <w:tcPr>
            <w:tcW w:w="906" w:type="dxa"/>
            <w:tcBorders>
              <w:top w:val="nil"/>
              <w:left w:val="nil"/>
              <w:bottom w:val="nil"/>
              <w:right w:val="nil"/>
            </w:tcBorders>
            <w:shd w:val="clear" w:color="auto" w:fill="auto"/>
            <w:noWrap/>
            <w:vAlign w:val="bottom"/>
            <w:hideMark/>
          </w:tcPr>
          <w:p w14:paraId="6949580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138</w:t>
            </w:r>
          </w:p>
        </w:tc>
        <w:tc>
          <w:tcPr>
            <w:tcW w:w="1502" w:type="dxa"/>
            <w:tcBorders>
              <w:top w:val="nil"/>
              <w:left w:val="nil"/>
              <w:bottom w:val="nil"/>
              <w:right w:val="nil"/>
            </w:tcBorders>
            <w:shd w:val="clear" w:color="auto" w:fill="auto"/>
            <w:noWrap/>
            <w:vAlign w:val="bottom"/>
            <w:hideMark/>
          </w:tcPr>
          <w:p w14:paraId="3DC223A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14.50</w:t>
            </w:r>
          </w:p>
        </w:tc>
        <w:tc>
          <w:tcPr>
            <w:tcW w:w="1287" w:type="dxa"/>
            <w:tcBorders>
              <w:top w:val="nil"/>
              <w:left w:val="nil"/>
              <w:bottom w:val="nil"/>
              <w:right w:val="nil"/>
            </w:tcBorders>
            <w:shd w:val="clear" w:color="auto" w:fill="auto"/>
            <w:noWrap/>
            <w:vAlign w:val="bottom"/>
            <w:hideMark/>
          </w:tcPr>
          <w:p w14:paraId="5BDEE98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1.96E-24</w:t>
            </w:r>
          </w:p>
        </w:tc>
        <w:tc>
          <w:tcPr>
            <w:tcW w:w="1287" w:type="dxa"/>
            <w:tcBorders>
              <w:top w:val="nil"/>
              <w:left w:val="nil"/>
              <w:bottom w:val="nil"/>
              <w:right w:val="nil"/>
            </w:tcBorders>
            <w:shd w:val="clear" w:color="auto" w:fill="auto"/>
            <w:noWrap/>
            <w:vAlign w:val="bottom"/>
            <w:hideMark/>
          </w:tcPr>
          <w:p w14:paraId="11B2BA4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1.48E-22</w:t>
            </w:r>
          </w:p>
        </w:tc>
      </w:tr>
      <w:tr w:rsidR="0066147D" w:rsidRPr="0066147D" w14:paraId="2E4D6BEE" w14:textId="77777777" w:rsidTr="0066147D">
        <w:trPr>
          <w:trHeight w:val="320"/>
        </w:trPr>
        <w:tc>
          <w:tcPr>
            <w:tcW w:w="997" w:type="dxa"/>
            <w:tcBorders>
              <w:top w:val="nil"/>
              <w:left w:val="nil"/>
              <w:bottom w:val="nil"/>
              <w:right w:val="nil"/>
            </w:tcBorders>
            <w:shd w:val="clear" w:color="auto" w:fill="auto"/>
            <w:noWrap/>
            <w:vAlign w:val="center"/>
            <w:hideMark/>
          </w:tcPr>
          <w:p w14:paraId="1B74CF2C"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center"/>
            <w:hideMark/>
          </w:tcPr>
          <w:p w14:paraId="6B3C82E1"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 xml:space="preserve"> Distal tubules</w:t>
            </w:r>
          </w:p>
        </w:tc>
        <w:tc>
          <w:tcPr>
            <w:tcW w:w="906" w:type="dxa"/>
            <w:tcBorders>
              <w:top w:val="nil"/>
              <w:left w:val="nil"/>
              <w:bottom w:val="nil"/>
              <w:right w:val="nil"/>
            </w:tcBorders>
            <w:shd w:val="clear" w:color="auto" w:fill="auto"/>
            <w:noWrap/>
            <w:vAlign w:val="bottom"/>
            <w:hideMark/>
          </w:tcPr>
          <w:p w14:paraId="0B75DEE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113</w:t>
            </w:r>
          </w:p>
        </w:tc>
        <w:tc>
          <w:tcPr>
            <w:tcW w:w="1502" w:type="dxa"/>
            <w:tcBorders>
              <w:top w:val="nil"/>
              <w:left w:val="nil"/>
              <w:bottom w:val="nil"/>
              <w:right w:val="nil"/>
            </w:tcBorders>
            <w:shd w:val="clear" w:color="auto" w:fill="auto"/>
            <w:noWrap/>
            <w:vAlign w:val="bottom"/>
            <w:hideMark/>
          </w:tcPr>
          <w:p w14:paraId="43F55D2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11.87</w:t>
            </w:r>
          </w:p>
        </w:tc>
        <w:tc>
          <w:tcPr>
            <w:tcW w:w="1287" w:type="dxa"/>
            <w:tcBorders>
              <w:top w:val="nil"/>
              <w:left w:val="nil"/>
              <w:bottom w:val="nil"/>
              <w:right w:val="nil"/>
            </w:tcBorders>
            <w:shd w:val="clear" w:color="auto" w:fill="auto"/>
            <w:noWrap/>
            <w:vAlign w:val="bottom"/>
            <w:hideMark/>
          </w:tcPr>
          <w:p w14:paraId="37033FB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2.18E-23</w:t>
            </w:r>
          </w:p>
        </w:tc>
        <w:tc>
          <w:tcPr>
            <w:tcW w:w="1287" w:type="dxa"/>
            <w:tcBorders>
              <w:top w:val="nil"/>
              <w:left w:val="nil"/>
              <w:bottom w:val="nil"/>
              <w:right w:val="nil"/>
            </w:tcBorders>
            <w:shd w:val="clear" w:color="auto" w:fill="auto"/>
            <w:noWrap/>
            <w:vAlign w:val="bottom"/>
            <w:hideMark/>
          </w:tcPr>
          <w:p w14:paraId="12B113B3"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1.10E-21</w:t>
            </w:r>
          </w:p>
        </w:tc>
      </w:tr>
      <w:tr w:rsidR="0066147D" w:rsidRPr="0066147D" w14:paraId="4C4BC89A" w14:textId="77777777" w:rsidTr="0066147D">
        <w:trPr>
          <w:trHeight w:val="320"/>
        </w:trPr>
        <w:tc>
          <w:tcPr>
            <w:tcW w:w="997" w:type="dxa"/>
            <w:tcBorders>
              <w:top w:val="nil"/>
              <w:left w:val="nil"/>
              <w:bottom w:val="nil"/>
              <w:right w:val="nil"/>
            </w:tcBorders>
            <w:shd w:val="clear" w:color="auto" w:fill="auto"/>
            <w:noWrap/>
            <w:vAlign w:val="center"/>
            <w:hideMark/>
          </w:tcPr>
          <w:p w14:paraId="6B326240"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center"/>
            <w:hideMark/>
          </w:tcPr>
          <w:p w14:paraId="06F01475"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Collecting ducts</w:t>
            </w:r>
          </w:p>
        </w:tc>
        <w:tc>
          <w:tcPr>
            <w:tcW w:w="906" w:type="dxa"/>
            <w:tcBorders>
              <w:top w:val="nil"/>
              <w:left w:val="nil"/>
              <w:bottom w:val="nil"/>
              <w:right w:val="nil"/>
            </w:tcBorders>
            <w:shd w:val="clear" w:color="auto" w:fill="auto"/>
            <w:noWrap/>
            <w:vAlign w:val="bottom"/>
            <w:hideMark/>
          </w:tcPr>
          <w:p w14:paraId="434D92D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101</w:t>
            </w:r>
          </w:p>
        </w:tc>
        <w:tc>
          <w:tcPr>
            <w:tcW w:w="1502" w:type="dxa"/>
            <w:tcBorders>
              <w:top w:val="nil"/>
              <w:left w:val="nil"/>
              <w:bottom w:val="nil"/>
              <w:right w:val="nil"/>
            </w:tcBorders>
            <w:shd w:val="clear" w:color="auto" w:fill="auto"/>
            <w:noWrap/>
            <w:vAlign w:val="bottom"/>
            <w:hideMark/>
          </w:tcPr>
          <w:p w14:paraId="1207F14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10.61</w:t>
            </w:r>
          </w:p>
        </w:tc>
        <w:tc>
          <w:tcPr>
            <w:tcW w:w="1287" w:type="dxa"/>
            <w:tcBorders>
              <w:top w:val="nil"/>
              <w:left w:val="nil"/>
              <w:bottom w:val="nil"/>
              <w:right w:val="nil"/>
            </w:tcBorders>
            <w:shd w:val="clear" w:color="auto" w:fill="auto"/>
            <w:noWrap/>
            <w:vAlign w:val="bottom"/>
            <w:hideMark/>
          </w:tcPr>
          <w:p w14:paraId="55BF946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5.65E-23</w:t>
            </w:r>
          </w:p>
        </w:tc>
        <w:tc>
          <w:tcPr>
            <w:tcW w:w="1287" w:type="dxa"/>
            <w:tcBorders>
              <w:top w:val="nil"/>
              <w:left w:val="nil"/>
              <w:bottom w:val="nil"/>
              <w:right w:val="nil"/>
            </w:tcBorders>
            <w:shd w:val="clear" w:color="auto" w:fill="auto"/>
            <w:noWrap/>
            <w:vAlign w:val="bottom"/>
            <w:hideMark/>
          </w:tcPr>
          <w:p w14:paraId="31ACC69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1.96E-21</w:t>
            </w:r>
          </w:p>
        </w:tc>
      </w:tr>
      <w:tr w:rsidR="0066147D" w:rsidRPr="0066147D" w14:paraId="0ACF4F95" w14:textId="77777777" w:rsidTr="0066147D">
        <w:trPr>
          <w:trHeight w:val="320"/>
        </w:trPr>
        <w:tc>
          <w:tcPr>
            <w:tcW w:w="997" w:type="dxa"/>
            <w:tcBorders>
              <w:top w:val="nil"/>
              <w:left w:val="nil"/>
              <w:bottom w:val="nil"/>
              <w:right w:val="nil"/>
            </w:tcBorders>
            <w:shd w:val="clear" w:color="auto" w:fill="auto"/>
            <w:noWrap/>
            <w:vAlign w:val="center"/>
            <w:hideMark/>
          </w:tcPr>
          <w:p w14:paraId="125BA0C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2</w:t>
            </w:r>
          </w:p>
        </w:tc>
        <w:tc>
          <w:tcPr>
            <w:tcW w:w="3981" w:type="dxa"/>
            <w:tcBorders>
              <w:top w:val="nil"/>
              <w:left w:val="nil"/>
              <w:bottom w:val="nil"/>
              <w:right w:val="nil"/>
            </w:tcBorders>
            <w:shd w:val="clear" w:color="auto" w:fill="auto"/>
            <w:noWrap/>
            <w:vAlign w:val="center"/>
            <w:hideMark/>
          </w:tcPr>
          <w:p w14:paraId="60349EAE"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Fibrohistiocytic cells</w:t>
            </w:r>
          </w:p>
        </w:tc>
        <w:tc>
          <w:tcPr>
            <w:tcW w:w="906" w:type="dxa"/>
            <w:tcBorders>
              <w:top w:val="nil"/>
              <w:left w:val="nil"/>
              <w:bottom w:val="nil"/>
              <w:right w:val="nil"/>
            </w:tcBorders>
            <w:shd w:val="clear" w:color="auto" w:fill="auto"/>
            <w:noWrap/>
            <w:vAlign w:val="bottom"/>
            <w:hideMark/>
          </w:tcPr>
          <w:p w14:paraId="5DB85A9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148</w:t>
            </w:r>
          </w:p>
        </w:tc>
        <w:tc>
          <w:tcPr>
            <w:tcW w:w="1502" w:type="dxa"/>
            <w:tcBorders>
              <w:top w:val="nil"/>
              <w:left w:val="nil"/>
              <w:bottom w:val="nil"/>
              <w:right w:val="nil"/>
            </w:tcBorders>
            <w:shd w:val="clear" w:color="auto" w:fill="auto"/>
            <w:noWrap/>
            <w:vAlign w:val="bottom"/>
            <w:hideMark/>
          </w:tcPr>
          <w:p w14:paraId="04793E56"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15.55</w:t>
            </w:r>
          </w:p>
        </w:tc>
        <w:tc>
          <w:tcPr>
            <w:tcW w:w="1287" w:type="dxa"/>
            <w:tcBorders>
              <w:top w:val="nil"/>
              <w:left w:val="nil"/>
              <w:bottom w:val="nil"/>
              <w:right w:val="nil"/>
            </w:tcBorders>
            <w:shd w:val="clear" w:color="auto" w:fill="auto"/>
            <w:noWrap/>
            <w:vAlign w:val="bottom"/>
            <w:hideMark/>
          </w:tcPr>
          <w:p w14:paraId="3A59220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6.50E-23</w:t>
            </w:r>
          </w:p>
        </w:tc>
        <w:tc>
          <w:tcPr>
            <w:tcW w:w="1287" w:type="dxa"/>
            <w:tcBorders>
              <w:top w:val="nil"/>
              <w:left w:val="nil"/>
              <w:bottom w:val="nil"/>
              <w:right w:val="nil"/>
            </w:tcBorders>
            <w:shd w:val="clear" w:color="auto" w:fill="auto"/>
            <w:noWrap/>
            <w:vAlign w:val="bottom"/>
            <w:hideMark/>
          </w:tcPr>
          <w:p w14:paraId="087BA756"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1.96E-21</w:t>
            </w:r>
          </w:p>
        </w:tc>
      </w:tr>
      <w:tr w:rsidR="0066147D" w:rsidRPr="0066147D" w14:paraId="448F3025" w14:textId="77777777" w:rsidTr="0066147D">
        <w:trPr>
          <w:trHeight w:val="320"/>
        </w:trPr>
        <w:tc>
          <w:tcPr>
            <w:tcW w:w="997" w:type="dxa"/>
            <w:tcBorders>
              <w:top w:val="nil"/>
              <w:left w:val="nil"/>
              <w:bottom w:val="nil"/>
              <w:right w:val="nil"/>
            </w:tcBorders>
            <w:shd w:val="clear" w:color="auto" w:fill="auto"/>
            <w:noWrap/>
            <w:vAlign w:val="center"/>
            <w:hideMark/>
          </w:tcPr>
          <w:p w14:paraId="4E2CC997"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center"/>
            <w:hideMark/>
          </w:tcPr>
          <w:p w14:paraId="273E841E"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Proximal tubules (microvilli)</w:t>
            </w:r>
          </w:p>
        </w:tc>
        <w:tc>
          <w:tcPr>
            <w:tcW w:w="906" w:type="dxa"/>
            <w:tcBorders>
              <w:top w:val="nil"/>
              <w:left w:val="nil"/>
              <w:bottom w:val="nil"/>
              <w:right w:val="nil"/>
            </w:tcBorders>
            <w:shd w:val="clear" w:color="auto" w:fill="auto"/>
            <w:noWrap/>
            <w:vAlign w:val="bottom"/>
            <w:hideMark/>
          </w:tcPr>
          <w:p w14:paraId="245F39B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43</w:t>
            </w:r>
          </w:p>
        </w:tc>
        <w:tc>
          <w:tcPr>
            <w:tcW w:w="1502" w:type="dxa"/>
            <w:tcBorders>
              <w:top w:val="nil"/>
              <w:left w:val="nil"/>
              <w:bottom w:val="nil"/>
              <w:right w:val="nil"/>
            </w:tcBorders>
            <w:shd w:val="clear" w:color="auto" w:fill="auto"/>
            <w:noWrap/>
            <w:vAlign w:val="bottom"/>
            <w:hideMark/>
          </w:tcPr>
          <w:p w14:paraId="7435A12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4.52</w:t>
            </w:r>
          </w:p>
        </w:tc>
        <w:tc>
          <w:tcPr>
            <w:tcW w:w="1287" w:type="dxa"/>
            <w:tcBorders>
              <w:top w:val="nil"/>
              <w:left w:val="nil"/>
              <w:bottom w:val="nil"/>
              <w:right w:val="nil"/>
            </w:tcBorders>
            <w:shd w:val="clear" w:color="auto" w:fill="auto"/>
            <w:noWrap/>
            <w:vAlign w:val="bottom"/>
            <w:hideMark/>
          </w:tcPr>
          <w:p w14:paraId="4875460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9.72E-18</w:t>
            </w:r>
          </w:p>
        </w:tc>
        <w:tc>
          <w:tcPr>
            <w:tcW w:w="1287" w:type="dxa"/>
            <w:tcBorders>
              <w:top w:val="nil"/>
              <w:left w:val="nil"/>
              <w:bottom w:val="nil"/>
              <w:right w:val="nil"/>
            </w:tcBorders>
            <w:shd w:val="clear" w:color="auto" w:fill="auto"/>
            <w:noWrap/>
            <w:vAlign w:val="bottom"/>
            <w:hideMark/>
          </w:tcPr>
          <w:p w14:paraId="560CCFD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2.45E-16</w:t>
            </w:r>
          </w:p>
        </w:tc>
      </w:tr>
      <w:tr w:rsidR="0066147D" w:rsidRPr="0066147D" w14:paraId="59A4ACA9" w14:textId="77777777" w:rsidTr="0066147D">
        <w:trPr>
          <w:trHeight w:val="320"/>
        </w:trPr>
        <w:tc>
          <w:tcPr>
            <w:tcW w:w="997" w:type="dxa"/>
            <w:tcBorders>
              <w:top w:val="nil"/>
              <w:left w:val="nil"/>
              <w:bottom w:val="nil"/>
              <w:right w:val="nil"/>
            </w:tcBorders>
            <w:shd w:val="clear" w:color="auto" w:fill="auto"/>
            <w:noWrap/>
            <w:vAlign w:val="center"/>
            <w:hideMark/>
          </w:tcPr>
          <w:p w14:paraId="4436D3A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2</w:t>
            </w:r>
          </w:p>
        </w:tc>
        <w:tc>
          <w:tcPr>
            <w:tcW w:w="3981" w:type="dxa"/>
            <w:tcBorders>
              <w:top w:val="nil"/>
              <w:left w:val="nil"/>
              <w:bottom w:val="nil"/>
              <w:right w:val="nil"/>
            </w:tcBorders>
            <w:shd w:val="clear" w:color="auto" w:fill="auto"/>
            <w:noWrap/>
            <w:vAlign w:val="center"/>
            <w:hideMark/>
          </w:tcPr>
          <w:p w14:paraId="0661BFAD"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Endothelial cells</w:t>
            </w:r>
          </w:p>
        </w:tc>
        <w:tc>
          <w:tcPr>
            <w:tcW w:w="906" w:type="dxa"/>
            <w:tcBorders>
              <w:top w:val="nil"/>
              <w:left w:val="nil"/>
              <w:bottom w:val="nil"/>
              <w:right w:val="nil"/>
            </w:tcBorders>
            <w:shd w:val="clear" w:color="auto" w:fill="auto"/>
            <w:noWrap/>
            <w:vAlign w:val="bottom"/>
            <w:hideMark/>
          </w:tcPr>
          <w:p w14:paraId="6F0310CF"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118</w:t>
            </w:r>
          </w:p>
        </w:tc>
        <w:tc>
          <w:tcPr>
            <w:tcW w:w="1502" w:type="dxa"/>
            <w:tcBorders>
              <w:top w:val="nil"/>
              <w:left w:val="nil"/>
              <w:bottom w:val="nil"/>
              <w:right w:val="nil"/>
            </w:tcBorders>
            <w:shd w:val="clear" w:color="auto" w:fill="auto"/>
            <w:noWrap/>
            <w:vAlign w:val="bottom"/>
            <w:hideMark/>
          </w:tcPr>
          <w:p w14:paraId="63A8C18B"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12.39</w:t>
            </w:r>
          </w:p>
        </w:tc>
        <w:tc>
          <w:tcPr>
            <w:tcW w:w="1287" w:type="dxa"/>
            <w:tcBorders>
              <w:top w:val="nil"/>
              <w:left w:val="nil"/>
              <w:bottom w:val="nil"/>
              <w:right w:val="nil"/>
            </w:tcBorders>
            <w:shd w:val="clear" w:color="auto" w:fill="auto"/>
            <w:noWrap/>
            <w:vAlign w:val="bottom"/>
            <w:hideMark/>
          </w:tcPr>
          <w:p w14:paraId="5C15E48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4.46E-15</w:t>
            </w:r>
          </w:p>
        </w:tc>
        <w:tc>
          <w:tcPr>
            <w:tcW w:w="1287" w:type="dxa"/>
            <w:tcBorders>
              <w:top w:val="nil"/>
              <w:left w:val="nil"/>
              <w:bottom w:val="nil"/>
              <w:right w:val="nil"/>
            </w:tcBorders>
            <w:shd w:val="clear" w:color="auto" w:fill="auto"/>
            <w:noWrap/>
            <w:vAlign w:val="bottom"/>
            <w:hideMark/>
          </w:tcPr>
          <w:p w14:paraId="4EEC4876"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9.62E-14</w:t>
            </w:r>
          </w:p>
        </w:tc>
      </w:tr>
      <w:tr w:rsidR="0066147D" w:rsidRPr="0066147D" w14:paraId="0FC4ADD1" w14:textId="77777777" w:rsidTr="0066147D">
        <w:trPr>
          <w:trHeight w:val="320"/>
        </w:trPr>
        <w:tc>
          <w:tcPr>
            <w:tcW w:w="997" w:type="dxa"/>
            <w:tcBorders>
              <w:top w:val="nil"/>
              <w:left w:val="nil"/>
              <w:bottom w:val="nil"/>
              <w:right w:val="nil"/>
            </w:tcBorders>
            <w:shd w:val="clear" w:color="auto" w:fill="auto"/>
            <w:noWrap/>
            <w:vAlign w:val="center"/>
            <w:hideMark/>
          </w:tcPr>
          <w:p w14:paraId="1D80A86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1</w:t>
            </w:r>
          </w:p>
        </w:tc>
        <w:tc>
          <w:tcPr>
            <w:tcW w:w="3981" w:type="dxa"/>
            <w:tcBorders>
              <w:top w:val="nil"/>
              <w:left w:val="nil"/>
              <w:bottom w:val="nil"/>
              <w:right w:val="nil"/>
            </w:tcBorders>
            <w:shd w:val="clear" w:color="auto" w:fill="auto"/>
            <w:noWrap/>
            <w:vAlign w:val="center"/>
            <w:hideMark/>
          </w:tcPr>
          <w:p w14:paraId="6BC995E4"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Endothelial cells</w:t>
            </w:r>
          </w:p>
        </w:tc>
        <w:tc>
          <w:tcPr>
            <w:tcW w:w="906" w:type="dxa"/>
            <w:tcBorders>
              <w:top w:val="nil"/>
              <w:left w:val="nil"/>
              <w:bottom w:val="nil"/>
              <w:right w:val="nil"/>
            </w:tcBorders>
            <w:shd w:val="clear" w:color="auto" w:fill="auto"/>
            <w:noWrap/>
            <w:vAlign w:val="bottom"/>
            <w:hideMark/>
          </w:tcPr>
          <w:p w14:paraId="2F882C30"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113</w:t>
            </w:r>
          </w:p>
        </w:tc>
        <w:tc>
          <w:tcPr>
            <w:tcW w:w="1502" w:type="dxa"/>
            <w:tcBorders>
              <w:top w:val="nil"/>
              <w:left w:val="nil"/>
              <w:bottom w:val="nil"/>
              <w:right w:val="nil"/>
            </w:tcBorders>
            <w:shd w:val="clear" w:color="auto" w:fill="auto"/>
            <w:noWrap/>
            <w:vAlign w:val="bottom"/>
            <w:hideMark/>
          </w:tcPr>
          <w:p w14:paraId="1613F7B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11.87</w:t>
            </w:r>
          </w:p>
        </w:tc>
        <w:tc>
          <w:tcPr>
            <w:tcW w:w="1287" w:type="dxa"/>
            <w:tcBorders>
              <w:top w:val="nil"/>
              <w:left w:val="nil"/>
              <w:bottom w:val="nil"/>
              <w:right w:val="nil"/>
            </w:tcBorders>
            <w:shd w:val="clear" w:color="auto" w:fill="auto"/>
            <w:noWrap/>
            <w:vAlign w:val="bottom"/>
            <w:hideMark/>
          </w:tcPr>
          <w:p w14:paraId="17121B5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7.78E-15</w:t>
            </w:r>
          </w:p>
        </w:tc>
        <w:tc>
          <w:tcPr>
            <w:tcW w:w="1287" w:type="dxa"/>
            <w:tcBorders>
              <w:top w:val="nil"/>
              <w:left w:val="nil"/>
              <w:bottom w:val="nil"/>
              <w:right w:val="nil"/>
            </w:tcBorders>
            <w:shd w:val="clear" w:color="auto" w:fill="auto"/>
            <w:noWrap/>
            <w:vAlign w:val="bottom"/>
            <w:hideMark/>
          </w:tcPr>
          <w:p w14:paraId="2CB0A55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1.47E-13</w:t>
            </w:r>
          </w:p>
        </w:tc>
      </w:tr>
      <w:tr w:rsidR="0066147D" w:rsidRPr="0066147D" w14:paraId="27325AAF" w14:textId="77777777" w:rsidTr="0066147D">
        <w:trPr>
          <w:trHeight w:val="320"/>
        </w:trPr>
        <w:tc>
          <w:tcPr>
            <w:tcW w:w="997" w:type="dxa"/>
            <w:tcBorders>
              <w:top w:val="nil"/>
              <w:left w:val="nil"/>
              <w:bottom w:val="nil"/>
              <w:right w:val="nil"/>
            </w:tcBorders>
            <w:shd w:val="clear" w:color="auto" w:fill="auto"/>
            <w:noWrap/>
            <w:vAlign w:val="center"/>
            <w:hideMark/>
          </w:tcPr>
          <w:p w14:paraId="074CD3E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2</w:t>
            </w:r>
          </w:p>
        </w:tc>
        <w:tc>
          <w:tcPr>
            <w:tcW w:w="3981" w:type="dxa"/>
            <w:tcBorders>
              <w:top w:val="nil"/>
              <w:left w:val="nil"/>
              <w:bottom w:val="nil"/>
              <w:right w:val="nil"/>
            </w:tcBorders>
            <w:shd w:val="clear" w:color="auto" w:fill="auto"/>
            <w:noWrap/>
            <w:vAlign w:val="center"/>
            <w:hideMark/>
          </w:tcPr>
          <w:p w14:paraId="296A7932"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Cells in basal layer</w:t>
            </w:r>
          </w:p>
        </w:tc>
        <w:tc>
          <w:tcPr>
            <w:tcW w:w="906" w:type="dxa"/>
            <w:tcBorders>
              <w:top w:val="nil"/>
              <w:left w:val="nil"/>
              <w:bottom w:val="nil"/>
              <w:right w:val="nil"/>
            </w:tcBorders>
            <w:shd w:val="clear" w:color="auto" w:fill="auto"/>
            <w:noWrap/>
            <w:vAlign w:val="bottom"/>
            <w:hideMark/>
          </w:tcPr>
          <w:p w14:paraId="74B84E0D"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119</w:t>
            </w:r>
          </w:p>
        </w:tc>
        <w:tc>
          <w:tcPr>
            <w:tcW w:w="1502" w:type="dxa"/>
            <w:tcBorders>
              <w:top w:val="nil"/>
              <w:left w:val="nil"/>
              <w:bottom w:val="nil"/>
              <w:right w:val="nil"/>
            </w:tcBorders>
            <w:shd w:val="clear" w:color="auto" w:fill="auto"/>
            <w:noWrap/>
            <w:vAlign w:val="bottom"/>
            <w:hideMark/>
          </w:tcPr>
          <w:p w14:paraId="5D972F3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12.50</w:t>
            </w:r>
          </w:p>
        </w:tc>
        <w:tc>
          <w:tcPr>
            <w:tcW w:w="1287" w:type="dxa"/>
            <w:tcBorders>
              <w:top w:val="nil"/>
              <w:left w:val="nil"/>
              <w:bottom w:val="nil"/>
              <w:right w:val="nil"/>
            </w:tcBorders>
            <w:shd w:val="clear" w:color="auto" w:fill="auto"/>
            <w:noWrap/>
            <w:vAlign w:val="bottom"/>
            <w:hideMark/>
          </w:tcPr>
          <w:p w14:paraId="0BFB8A2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6.53E-13</w:t>
            </w:r>
          </w:p>
        </w:tc>
        <w:tc>
          <w:tcPr>
            <w:tcW w:w="1287" w:type="dxa"/>
            <w:tcBorders>
              <w:top w:val="nil"/>
              <w:left w:val="nil"/>
              <w:bottom w:val="nil"/>
              <w:right w:val="nil"/>
            </w:tcBorders>
            <w:shd w:val="clear" w:color="auto" w:fill="auto"/>
            <w:noWrap/>
            <w:vAlign w:val="bottom"/>
            <w:hideMark/>
          </w:tcPr>
          <w:p w14:paraId="4BEEE77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1.10E-11</w:t>
            </w:r>
          </w:p>
        </w:tc>
      </w:tr>
      <w:tr w:rsidR="0066147D" w:rsidRPr="0066147D" w14:paraId="0BD4E9F1" w14:textId="77777777" w:rsidTr="0066147D">
        <w:trPr>
          <w:trHeight w:val="320"/>
        </w:trPr>
        <w:tc>
          <w:tcPr>
            <w:tcW w:w="997" w:type="dxa"/>
            <w:tcBorders>
              <w:top w:val="nil"/>
              <w:left w:val="nil"/>
              <w:bottom w:val="single" w:sz="4" w:space="0" w:color="auto"/>
              <w:right w:val="nil"/>
            </w:tcBorders>
            <w:shd w:val="clear" w:color="auto" w:fill="auto"/>
            <w:noWrap/>
            <w:vAlign w:val="center"/>
            <w:hideMark/>
          </w:tcPr>
          <w:p w14:paraId="51CDA39F"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Skin 1</w:t>
            </w:r>
          </w:p>
        </w:tc>
        <w:tc>
          <w:tcPr>
            <w:tcW w:w="3981" w:type="dxa"/>
            <w:tcBorders>
              <w:top w:val="nil"/>
              <w:left w:val="nil"/>
              <w:bottom w:val="single" w:sz="4" w:space="0" w:color="auto"/>
              <w:right w:val="nil"/>
            </w:tcBorders>
            <w:shd w:val="clear" w:color="auto" w:fill="auto"/>
            <w:noWrap/>
            <w:vAlign w:val="center"/>
            <w:hideMark/>
          </w:tcPr>
          <w:p w14:paraId="590ADF81"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Cells in basal layer</w:t>
            </w:r>
          </w:p>
        </w:tc>
        <w:tc>
          <w:tcPr>
            <w:tcW w:w="906" w:type="dxa"/>
            <w:tcBorders>
              <w:top w:val="nil"/>
              <w:left w:val="nil"/>
              <w:bottom w:val="single" w:sz="4" w:space="0" w:color="auto"/>
              <w:right w:val="nil"/>
            </w:tcBorders>
            <w:shd w:val="clear" w:color="auto" w:fill="auto"/>
            <w:noWrap/>
            <w:vAlign w:val="bottom"/>
            <w:hideMark/>
          </w:tcPr>
          <w:p w14:paraId="112D426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108</w:t>
            </w:r>
          </w:p>
        </w:tc>
        <w:tc>
          <w:tcPr>
            <w:tcW w:w="1502" w:type="dxa"/>
            <w:tcBorders>
              <w:top w:val="nil"/>
              <w:left w:val="nil"/>
              <w:bottom w:val="single" w:sz="4" w:space="0" w:color="auto"/>
              <w:right w:val="nil"/>
            </w:tcBorders>
            <w:shd w:val="clear" w:color="auto" w:fill="auto"/>
            <w:noWrap/>
            <w:vAlign w:val="bottom"/>
            <w:hideMark/>
          </w:tcPr>
          <w:p w14:paraId="10599B3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11.34</w:t>
            </w:r>
          </w:p>
        </w:tc>
        <w:tc>
          <w:tcPr>
            <w:tcW w:w="1287" w:type="dxa"/>
            <w:tcBorders>
              <w:top w:val="nil"/>
              <w:left w:val="nil"/>
              <w:bottom w:val="single" w:sz="4" w:space="0" w:color="auto"/>
              <w:right w:val="nil"/>
            </w:tcBorders>
            <w:shd w:val="clear" w:color="auto" w:fill="auto"/>
            <w:noWrap/>
            <w:vAlign w:val="bottom"/>
            <w:hideMark/>
          </w:tcPr>
          <w:p w14:paraId="58A4B4D2"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1.56E-11</w:t>
            </w:r>
          </w:p>
        </w:tc>
        <w:tc>
          <w:tcPr>
            <w:tcW w:w="1287" w:type="dxa"/>
            <w:tcBorders>
              <w:top w:val="nil"/>
              <w:left w:val="nil"/>
              <w:bottom w:val="single" w:sz="4" w:space="0" w:color="auto"/>
              <w:right w:val="nil"/>
            </w:tcBorders>
            <w:shd w:val="clear" w:color="auto" w:fill="auto"/>
            <w:noWrap/>
            <w:vAlign w:val="bottom"/>
            <w:hideMark/>
          </w:tcPr>
          <w:p w14:paraId="41B9B155"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2.35E-10</w:t>
            </w:r>
          </w:p>
        </w:tc>
      </w:tr>
      <w:tr w:rsidR="0066147D" w:rsidRPr="0066147D" w14:paraId="0B368545" w14:textId="77777777" w:rsidTr="0066147D">
        <w:trPr>
          <w:trHeight w:val="480"/>
        </w:trPr>
        <w:tc>
          <w:tcPr>
            <w:tcW w:w="9960" w:type="dxa"/>
            <w:gridSpan w:val="6"/>
            <w:tcBorders>
              <w:top w:val="single" w:sz="4" w:space="0" w:color="auto"/>
              <w:left w:val="nil"/>
              <w:bottom w:val="single" w:sz="4" w:space="0" w:color="auto"/>
              <w:right w:val="nil"/>
            </w:tcBorders>
            <w:shd w:val="clear" w:color="auto" w:fill="auto"/>
            <w:vAlign w:val="center"/>
            <w:hideMark/>
          </w:tcPr>
          <w:p w14:paraId="021F70C9"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Functional Annotation Clustering (Cluster 1, Enrichment Score: 24.13)</w:t>
            </w:r>
          </w:p>
        </w:tc>
      </w:tr>
      <w:tr w:rsidR="0066147D" w:rsidRPr="0066147D" w14:paraId="0E8B3422" w14:textId="77777777" w:rsidTr="0066147D">
        <w:trPr>
          <w:trHeight w:val="320"/>
        </w:trPr>
        <w:tc>
          <w:tcPr>
            <w:tcW w:w="997" w:type="dxa"/>
            <w:tcBorders>
              <w:top w:val="nil"/>
              <w:left w:val="nil"/>
              <w:bottom w:val="single" w:sz="4" w:space="0" w:color="auto"/>
              <w:right w:val="nil"/>
            </w:tcBorders>
            <w:shd w:val="clear" w:color="auto" w:fill="auto"/>
            <w:noWrap/>
            <w:vAlign w:val="bottom"/>
            <w:hideMark/>
          </w:tcPr>
          <w:p w14:paraId="45A36F07"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Tissue</w:t>
            </w:r>
          </w:p>
        </w:tc>
        <w:tc>
          <w:tcPr>
            <w:tcW w:w="3981" w:type="dxa"/>
            <w:tcBorders>
              <w:top w:val="nil"/>
              <w:left w:val="nil"/>
              <w:bottom w:val="single" w:sz="4" w:space="0" w:color="auto"/>
              <w:right w:val="nil"/>
            </w:tcBorders>
            <w:shd w:val="clear" w:color="auto" w:fill="auto"/>
            <w:noWrap/>
            <w:vAlign w:val="center"/>
            <w:hideMark/>
          </w:tcPr>
          <w:p w14:paraId="29E72A8A"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Cell-type</w:t>
            </w:r>
          </w:p>
        </w:tc>
        <w:tc>
          <w:tcPr>
            <w:tcW w:w="906" w:type="dxa"/>
            <w:tcBorders>
              <w:top w:val="nil"/>
              <w:left w:val="nil"/>
              <w:bottom w:val="single" w:sz="4" w:space="0" w:color="auto"/>
              <w:right w:val="nil"/>
            </w:tcBorders>
            <w:shd w:val="clear" w:color="auto" w:fill="auto"/>
            <w:noWrap/>
            <w:vAlign w:val="bottom"/>
            <w:hideMark/>
          </w:tcPr>
          <w:p w14:paraId="2457B3DF"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Count</w:t>
            </w:r>
          </w:p>
        </w:tc>
        <w:tc>
          <w:tcPr>
            <w:tcW w:w="1502" w:type="dxa"/>
            <w:tcBorders>
              <w:top w:val="nil"/>
              <w:left w:val="nil"/>
              <w:bottom w:val="single" w:sz="4" w:space="0" w:color="auto"/>
              <w:right w:val="nil"/>
            </w:tcBorders>
            <w:shd w:val="clear" w:color="auto" w:fill="auto"/>
            <w:noWrap/>
            <w:vAlign w:val="bottom"/>
            <w:hideMark/>
          </w:tcPr>
          <w:p w14:paraId="539C2D47"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 of DAPs</w:t>
            </w:r>
          </w:p>
        </w:tc>
        <w:tc>
          <w:tcPr>
            <w:tcW w:w="1287" w:type="dxa"/>
            <w:tcBorders>
              <w:top w:val="nil"/>
              <w:left w:val="nil"/>
              <w:bottom w:val="single" w:sz="4" w:space="0" w:color="auto"/>
              <w:right w:val="nil"/>
            </w:tcBorders>
            <w:shd w:val="clear" w:color="auto" w:fill="auto"/>
            <w:noWrap/>
            <w:vAlign w:val="bottom"/>
            <w:hideMark/>
          </w:tcPr>
          <w:p w14:paraId="2981F0A2"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P-value</w:t>
            </w:r>
          </w:p>
        </w:tc>
        <w:tc>
          <w:tcPr>
            <w:tcW w:w="1287" w:type="dxa"/>
            <w:tcBorders>
              <w:top w:val="nil"/>
              <w:left w:val="nil"/>
              <w:bottom w:val="single" w:sz="4" w:space="0" w:color="auto"/>
              <w:right w:val="nil"/>
            </w:tcBorders>
            <w:shd w:val="clear" w:color="auto" w:fill="auto"/>
            <w:noWrap/>
            <w:vAlign w:val="bottom"/>
            <w:hideMark/>
          </w:tcPr>
          <w:p w14:paraId="78F949A5" w14:textId="77777777" w:rsidR="0066147D" w:rsidRPr="0066147D" w:rsidRDefault="0066147D" w:rsidP="0066147D">
            <w:pPr>
              <w:jc w:val="center"/>
              <w:rPr>
                <w:rFonts w:ascii="Calibri" w:eastAsia="Times New Roman" w:hAnsi="Calibri" w:cs="Calibri"/>
                <w:b/>
                <w:bCs/>
                <w:color w:val="000000"/>
              </w:rPr>
            </w:pPr>
            <w:r w:rsidRPr="0066147D">
              <w:rPr>
                <w:rFonts w:ascii="Calibri" w:eastAsia="Times New Roman" w:hAnsi="Calibri" w:cs="Calibri"/>
                <w:b/>
                <w:bCs/>
                <w:color w:val="000000"/>
              </w:rPr>
              <w:t>FDR</w:t>
            </w:r>
          </w:p>
        </w:tc>
      </w:tr>
      <w:tr w:rsidR="0066147D" w:rsidRPr="0066147D" w14:paraId="69587ABE" w14:textId="77777777" w:rsidTr="0066147D">
        <w:trPr>
          <w:trHeight w:val="320"/>
        </w:trPr>
        <w:tc>
          <w:tcPr>
            <w:tcW w:w="997" w:type="dxa"/>
            <w:tcBorders>
              <w:top w:val="nil"/>
              <w:left w:val="nil"/>
              <w:bottom w:val="nil"/>
              <w:right w:val="nil"/>
            </w:tcBorders>
            <w:shd w:val="clear" w:color="auto" w:fill="auto"/>
            <w:noWrap/>
            <w:vAlign w:val="bottom"/>
            <w:hideMark/>
          </w:tcPr>
          <w:p w14:paraId="0D5BB321"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bottom"/>
            <w:hideMark/>
          </w:tcPr>
          <w:p w14:paraId="11F3A400"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Proximal tubules (cell body)</w:t>
            </w:r>
          </w:p>
        </w:tc>
        <w:tc>
          <w:tcPr>
            <w:tcW w:w="906" w:type="dxa"/>
            <w:tcBorders>
              <w:top w:val="nil"/>
              <w:left w:val="nil"/>
              <w:bottom w:val="nil"/>
              <w:right w:val="nil"/>
            </w:tcBorders>
            <w:shd w:val="clear" w:color="auto" w:fill="auto"/>
            <w:noWrap/>
            <w:vAlign w:val="bottom"/>
            <w:hideMark/>
          </w:tcPr>
          <w:p w14:paraId="4AE75184"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124</w:t>
            </w:r>
          </w:p>
        </w:tc>
        <w:tc>
          <w:tcPr>
            <w:tcW w:w="1502" w:type="dxa"/>
            <w:tcBorders>
              <w:top w:val="nil"/>
              <w:left w:val="nil"/>
              <w:bottom w:val="nil"/>
              <w:right w:val="nil"/>
            </w:tcBorders>
            <w:shd w:val="clear" w:color="auto" w:fill="auto"/>
            <w:noWrap/>
            <w:vAlign w:val="bottom"/>
            <w:hideMark/>
          </w:tcPr>
          <w:p w14:paraId="272F13AA"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13.03</w:t>
            </w:r>
          </w:p>
        </w:tc>
        <w:tc>
          <w:tcPr>
            <w:tcW w:w="1287" w:type="dxa"/>
            <w:tcBorders>
              <w:top w:val="nil"/>
              <w:left w:val="nil"/>
              <w:bottom w:val="nil"/>
              <w:right w:val="nil"/>
            </w:tcBorders>
            <w:shd w:val="clear" w:color="auto" w:fill="auto"/>
            <w:noWrap/>
            <w:vAlign w:val="bottom"/>
            <w:hideMark/>
          </w:tcPr>
          <w:p w14:paraId="54122B03"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3.15E-28</w:t>
            </w:r>
          </w:p>
        </w:tc>
        <w:tc>
          <w:tcPr>
            <w:tcW w:w="1287" w:type="dxa"/>
            <w:tcBorders>
              <w:top w:val="nil"/>
              <w:left w:val="nil"/>
              <w:bottom w:val="nil"/>
              <w:right w:val="nil"/>
            </w:tcBorders>
            <w:shd w:val="clear" w:color="auto" w:fill="auto"/>
            <w:noWrap/>
            <w:vAlign w:val="bottom"/>
            <w:hideMark/>
          </w:tcPr>
          <w:p w14:paraId="5808EC27"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4.76E-26</w:t>
            </w:r>
          </w:p>
        </w:tc>
      </w:tr>
      <w:tr w:rsidR="0066147D" w:rsidRPr="0066147D" w14:paraId="6810D4BF" w14:textId="77777777" w:rsidTr="0066147D">
        <w:trPr>
          <w:trHeight w:val="320"/>
        </w:trPr>
        <w:tc>
          <w:tcPr>
            <w:tcW w:w="997" w:type="dxa"/>
            <w:tcBorders>
              <w:top w:val="nil"/>
              <w:left w:val="nil"/>
              <w:bottom w:val="nil"/>
              <w:right w:val="nil"/>
            </w:tcBorders>
            <w:shd w:val="clear" w:color="auto" w:fill="auto"/>
            <w:noWrap/>
            <w:vAlign w:val="bottom"/>
            <w:hideMark/>
          </w:tcPr>
          <w:p w14:paraId="0269BE6B"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nil"/>
              <w:right w:val="nil"/>
            </w:tcBorders>
            <w:shd w:val="clear" w:color="auto" w:fill="auto"/>
            <w:noWrap/>
            <w:vAlign w:val="bottom"/>
            <w:hideMark/>
          </w:tcPr>
          <w:p w14:paraId="2DBAB7DC"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Distal tubules</w:t>
            </w:r>
          </w:p>
        </w:tc>
        <w:tc>
          <w:tcPr>
            <w:tcW w:w="906" w:type="dxa"/>
            <w:tcBorders>
              <w:top w:val="nil"/>
              <w:left w:val="nil"/>
              <w:bottom w:val="nil"/>
              <w:right w:val="nil"/>
            </w:tcBorders>
            <w:shd w:val="clear" w:color="auto" w:fill="auto"/>
            <w:noWrap/>
            <w:vAlign w:val="bottom"/>
            <w:hideMark/>
          </w:tcPr>
          <w:p w14:paraId="6F2C341C"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113</w:t>
            </w:r>
          </w:p>
        </w:tc>
        <w:tc>
          <w:tcPr>
            <w:tcW w:w="1502" w:type="dxa"/>
            <w:tcBorders>
              <w:top w:val="nil"/>
              <w:left w:val="nil"/>
              <w:bottom w:val="nil"/>
              <w:right w:val="nil"/>
            </w:tcBorders>
            <w:shd w:val="clear" w:color="auto" w:fill="auto"/>
            <w:noWrap/>
            <w:vAlign w:val="bottom"/>
            <w:hideMark/>
          </w:tcPr>
          <w:p w14:paraId="0DD80811"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11.87</w:t>
            </w:r>
          </w:p>
        </w:tc>
        <w:tc>
          <w:tcPr>
            <w:tcW w:w="1287" w:type="dxa"/>
            <w:tcBorders>
              <w:top w:val="nil"/>
              <w:left w:val="nil"/>
              <w:bottom w:val="nil"/>
              <w:right w:val="nil"/>
            </w:tcBorders>
            <w:shd w:val="clear" w:color="auto" w:fill="auto"/>
            <w:noWrap/>
            <w:vAlign w:val="bottom"/>
            <w:hideMark/>
          </w:tcPr>
          <w:p w14:paraId="33BA2B40"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2.18E-23</w:t>
            </w:r>
          </w:p>
        </w:tc>
        <w:tc>
          <w:tcPr>
            <w:tcW w:w="1287" w:type="dxa"/>
            <w:tcBorders>
              <w:top w:val="nil"/>
              <w:left w:val="nil"/>
              <w:bottom w:val="nil"/>
              <w:right w:val="nil"/>
            </w:tcBorders>
            <w:shd w:val="clear" w:color="auto" w:fill="auto"/>
            <w:noWrap/>
            <w:vAlign w:val="bottom"/>
            <w:hideMark/>
          </w:tcPr>
          <w:p w14:paraId="0819FD23"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1.10E-21</w:t>
            </w:r>
          </w:p>
        </w:tc>
      </w:tr>
      <w:tr w:rsidR="0066147D" w:rsidRPr="0066147D" w14:paraId="57CAD071" w14:textId="77777777" w:rsidTr="0066147D">
        <w:trPr>
          <w:trHeight w:val="320"/>
        </w:trPr>
        <w:tc>
          <w:tcPr>
            <w:tcW w:w="997" w:type="dxa"/>
            <w:tcBorders>
              <w:top w:val="nil"/>
              <w:left w:val="nil"/>
              <w:bottom w:val="single" w:sz="4" w:space="0" w:color="auto"/>
              <w:right w:val="nil"/>
            </w:tcBorders>
            <w:shd w:val="clear" w:color="auto" w:fill="auto"/>
            <w:noWrap/>
            <w:vAlign w:val="bottom"/>
            <w:hideMark/>
          </w:tcPr>
          <w:p w14:paraId="68BE8398"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Kidney</w:t>
            </w:r>
          </w:p>
        </w:tc>
        <w:tc>
          <w:tcPr>
            <w:tcW w:w="3981" w:type="dxa"/>
            <w:tcBorders>
              <w:top w:val="nil"/>
              <w:left w:val="nil"/>
              <w:bottom w:val="single" w:sz="4" w:space="0" w:color="auto"/>
              <w:right w:val="nil"/>
            </w:tcBorders>
            <w:shd w:val="clear" w:color="auto" w:fill="auto"/>
            <w:noWrap/>
            <w:vAlign w:val="bottom"/>
            <w:hideMark/>
          </w:tcPr>
          <w:p w14:paraId="6FCB40BF" w14:textId="77777777" w:rsidR="0066147D" w:rsidRPr="0066147D" w:rsidRDefault="0066147D" w:rsidP="0066147D">
            <w:pPr>
              <w:rPr>
                <w:rFonts w:ascii="Calibri" w:eastAsia="Times New Roman" w:hAnsi="Calibri" w:cs="Calibri"/>
                <w:color w:val="000000"/>
              </w:rPr>
            </w:pPr>
            <w:r w:rsidRPr="0066147D">
              <w:rPr>
                <w:rFonts w:ascii="Calibri" w:eastAsia="Times New Roman" w:hAnsi="Calibri" w:cs="Calibri"/>
                <w:color w:val="000000"/>
              </w:rPr>
              <w:t>Collecting ducts</w:t>
            </w:r>
          </w:p>
        </w:tc>
        <w:tc>
          <w:tcPr>
            <w:tcW w:w="906" w:type="dxa"/>
            <w:tcBorders>
              <w:top w:val="nil"/>
              <w:left w:val="nil"/>
              <w:bottom w:val="single" w:sz="4" w:space="0" w:color="auto"/>
              <w:right w:val="nil"/>
            </w:tcBorders>
            <w:shd w:val="clear" w:color="auto" w:fill="auto"/>
            <w:noWrap/>
            <w:vAlign w:val="bottom"/>
            <w:hideMark/>
          </w:tcPr>
          <w:p w14:paraId="637FDA1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101</w:t>
            </w:r>
          </w:p>
        </w:tc>
        <w:tc>
          <w:tcPr>
            <w:tcW w:w="1502" w:type="dxa"/>
            <w:tcBorders>
              <w:top w:val="nil"/>
              <w:left w:val="nil"/>
              <w:bottom w:val="single" w:sz="4" w:space="0" w:color="auto"/>
              <w:right w:val="nil"/>
            </w:tcBorders>
            <w:shd w:val="clear" w:color="auto" w:fill="auto"/>
            <w:noWrap/>
            <w:vAlign w:val="bottom"/>
            <w:hideMark/>
          </w:tcPr>
          <w:p w14:paraId="3ADF9F1E"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10.61</w:t>
            </w:r>
          </w:p>
        </w:tc>
        <w:tc>
          <w:tcPr>
            <w:tcW w:w="1287" w:type="dxa"/>
            <w:tcBorders>
              <w:top w:val="nil"/>
              <w:left w:val="nil"/>
              <w:bottom w:val="single" w:sz="4" w:space="0" w:color="auto"/>
              <w:right w:val="nil"/>
            </w:tcBorders>
            <w:shd w:val="clear" w:color="auto" w:fill="auto"/>
            <w:noWrap/>
            <w:vAlign w:val="bottom"/>
            <w:hideMark/>
          </w:tcPr>
          <w:p w14:paraId="2FE82328"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5.65E-23</w:t>
            </w:r>
          </w:p>
        </w:tc>
        <w:tc>
          <w:tcPr>
            <w:tcW w:w="1287" w:type="dxa"/>
            <w:tcBorders>
              <w:top w:val="nil"/>
              <w:left w:val="nil"/>
              <w:bottom w:val="single" w:sz="4" w:space="0" w:color="auto"/>
              <w:right w:val="nil"/>
            </w:tcBorders>
            <w:shd w:val="clear" w:color="auto" w:fill="auto"/>
            <w:noWrap/>
            <w:vAlign w:val="bottom"/>
            <w:hideMark/>
          </w:tcPr>
          <w:p w14:paraId="77998687" w14:textId="77777777" w:rsidR="0066147D" w:rsidRPr="0066147D" w:rsidRDefault="0066147D" w:rsidP="0066147D">
            <w:pPr>
              <w:jc w:val="center"/>
              <w:rPr>
                <w:rFonts w:ascii="Calibri" w:eastAsia="Times New Roman" w:hAnsi="Calibri" w:cs="Calibri"/>
                <w:color w:val="000000"/>
              </w:rPr>
            </w:pPr>
            <w:r w:rsidRPr="0066147D">
              <w:rPr>
                <w:rFonts w:ascii="Calibri" w:eastAsia="Times New Roman" w:hAnsi="Calibri" w:cs="Calibri"/>
                <w:color w:val="000000"/>
              </w:rPr>
              <w:t>1.96E-21</w:t>
            </w:r>
          </w:p>
        </w:tc>
      </w:tr>
    </w:tbl>
    <w:p w14:paraId="35C510E7" w14:textId="5686538B" w:rsidR="0066147D" w:rsidRDefault="0066147D" w:rsidP="00697B88">
      <w:pPr>
        <w:tabs>
          <w:tab w:val="left" w:pos="1890"/>
        </w:tabs>
        <w:spacing w:line="276" w:lineRule="auto"/>
        <w:jc w:val="both"/>
        <w:rPr>
          <w:rFonts w:ascii="Arial" w:hAnsi="Arial" w:cs="Arial"/>
          <w:sz w:val="22"/>
          <w:szCs w:val="22"/>
        </w:rPr>
      </w:pPr>
    </w:p>
    <w:p w14:paraId="7A3FE1FF" w14:textId="7446BC4A" w:rsidR="0066147D" w:rsidRDefault="00887725" w:rsidP="00697B88">
      <w:pPr>
        <w:tabs>
          <w:tab w:val="left" w:pos="1890"/>
        </w:tabs>
        <w:spacing w:line="276" w:lineRule="auto"/>
        <w:jc w:val="both"/>
        <w:rPr>
          <w:rFonts w:ascii="Arial" w:hAnsi="Arial" w:cs="Arial"/>
          <w:sz w:val="22"/>
          <w:szCs w:val="22"/>
        </w:rPr>
      </w:pPr>
      <w:r>
        <w:rPr>
          <w:rFonts w:ascii="Arial" w:hAnsi="Arial" w:cs="Arial"/>
          <w:sz w:val="22"/>
          <w:szCs w:val="22"/>
        </w:rPr>
        <w:t>DAPs, differentially abundant proteins; FDR, false discovery rate</w:t>
      </w:r>
    </w:p>
    <w:p w14:paraId="1ED5C5A6" w14:textId="51743B4D" w:rsidR="00887725" w:rsidRDefault="00887725" w:rsidP="00697B88">
      <w:pPr>
        <w:tabs>
          <w:tab w:val="left" w:pos="1890"/>
        </w:tabs>
        <w:spacing w:line="276" w:lineRule="auto"/>
        <w:jc w:val="both"/>
        <w:rPr>
          <w:rFonts w:ascii="Arial" w:hAnsi="Arial" w:cs="Arial"/>
          <w:sz w:val="22"/>
          <w:szCs w:val="22"/>
        </w:rPr>
      </w:pPr>
    </w:p>
    <w:p w14:paraId="217ED1FC" w14:textId="1A03C596" w:rsidR="00244AB4" w:rsidRDefault="00244AB4" w:rsidP="00244AB4">
      <w:pPr>
        <w:pStyle w:val="NormalWeb"/>
        <w:spacing w:line="276" w:lineRule="auto"/>
        <w:jc w:val="both"/>
        <w:rPr>
          <w:rFonts w:ascii="Arial" w:hAnsi="Arial" w:cs="Arial"/>
          <w:sz w:val="22"/>
          <w:szCs w:val="22"/>
        </w:rPr>
      </w:pPr>
      <w:r>
        <w:rPr>
          <w:rFonts w:ascii="Arial" w:hAnsi="Arial" w:cs="Arial"/>
          <w:sz w:val="22"/>
          <w:szCs w:val="22"/>
        </w:rPr>
        <w:t xml:space="preserve">Table S1. Metadata showing sample information and protein concentrations determined by Pierce Detergent-Compatible Bradford Assay </w:t>
      </w:r>
    </w:p>
    <w:p w14:paraId="78234EAE" w14:textId="5F29A938" w:rsidR="00244AB4" w:rsidRDefault="00244AB4" w:rsidP="00244AB4">
      <w:pPr>
        <w:pStyle w:val="NormalWeb"/>
        <w:spacing w:line="276" w:lineRule="auto"/>
        <w:jc w:val="both"/>
        <w:rPr>
          <w:rFonts w:ascii="Arial" w:hAnsi="Arial" w:cs="Arial"/>
          <w:sz w:val="22"/>
          <w:szCs w:val="22"/>
        </w:rPr>
      </w:pPr>
      <w:r>
        <w:rPr>
          <w:rFonts w:ascii="Arial" w:hAnsi="Arial" w:cs="Arial"/>
          <w:sz w:val="22"/>
          <w:szCs w:val="22"/>
        </w:rPr>
        <w:t xml:space="preserve">Table S2. Information on 944 differentially abundant proteins showing protein information and multiple comparisons </w:t>
      </w:r>
      <w:r w:rsidR="003738B8">
        <w:rPr>
          <w:rFonts w:ascii="Arial" w:hAnsi="Arial" w:cs="Arial"/>
          <w:sz w:val="22"/>
          <w:szCs w:val="22"/>
        </w:rPr>
        <w:t>r</w:t>
      </w:r>
      <w:r>
        <w:rPr>
          <w:rFonts w:ascii="Arial" w:hAnsi="Arial" w:cs="Arial"/>
          <w:sz w:val="22"/>
          <w:szCs w:val="22"/>
        </w:rPr>
        <w:t>esults.</w:t>
      </w:r>
    </w:p>
    <w:p w14:paraId="5C7D0D19" w14:textId="541F923C" w:rsidR="00244AB4" w:rsidRDefault="00244AB4" w:rsidP="00244AB4">
      <w:pPr>
        <w:pStyle w:val="NormalWeb"/>
        <w:spacing w:line="276" w:lineRule="auto"/>
        <w:jc w:val="both"/>
        <w:rPr>
          <w:rFonts w:ascii="Arial" w:hAnsi="Arial" w:cs="Arial"/>
          <w:sz w:val="22"/>
          <w:szCs w:val="22"/>
        </w:rPr>
      </w:pPr>
      <w:r>
        <w:rPr>
          <w:rFonts w:ascii="Arial" w:hAnsi="Arial" w:cs="Arial"/>
          <w:sz w:val="22"/>
          <w:szCs w:val="22"/>
        </w:rPr>
        <w:t>Table S3. List of known plasma proteins identified in the current urine proteome.</w:t>
      </w:r>
    </w:p>
    <w:p w14:paraId="5F40F04D" w14:textId="53FA6852" w:rsidR="00244AB4" w:rsidRDefault="00244AB4" w:rsidP="00244AB4">
      <w:pPr>
        <w:pStyle w:val="NormalWeb"/>
        <w:spacing w:line="276" w:lineRule="auto"/>
        <w:jc w:val="both"/>
        <w:rPr>
          <w:rFonts w:ascii="Arial" w:hAnsi="Arial" w:cs="Arial"/>
          <w:sz w:val="22"/>
          <w:szCs w:val="22"/>
        </w:rPr>
      </w:pPr>
      <w:r>
        <w:rPr>
          <w:rFonts w:ascii="Arial" w:hAnsi="Arial" w:cs="Arial"/>
          <w:sz w:val="22"/>
          <w:szCs w:val="22"/>
        </w:rPr>
        <w:t>Table S</w:t>
      </w:r>
      <w:r w:rsidR="002B6236">
        <w:rPr>
          <w:rFonts w:ascii="Arial" w:hAnsi="Arial" w:cs="Arial"/>
          <w:sz w:val="22"/>
          <w:szCs w:val="22"/>
        </w:rPr>
        <w:t>6</w:t>
      </w:r>
      <w:r>
        <w:rPr>
          <w:rFonts w:ascii="Arial" w:hAnsi="Arial" w:cs="Arial"/>
          <w:sz w:val="22"/>
          <w:szCs w:val="22"/>
        </w:rPr>
        <w:t xml:space="preserve">. Information on 178 </w:t>
      </w:r>
      <w:r w:rsidR="003738B8">
        <w:rPr>
          <w:rFonts w:ascii="Arial" w:hAnsi="Arial" w:cs="Arial"/>
          <w:sz w:val="22"/>
          <w:szCs w:val="22"/>
        </w:rPr>
        <w:t>kidney-related</w:t>
      </w:r>
      <w:r>
        <w:rPr>
          <w:rFonts w:ascii="Arial" w:hAnsi="Arial" w:cs="Arial"/>
          <w:sz w:val="22"/>
          <w:szCs w:val="22"/>
        </w:rPr>
        <w:t xml:space="preserve"> proteins showing protein information and multiple comparisons results.</w:t>
      </w:r>
    </w:p>
    <w:p w14:paraId="4B545FC7" w14:textId="15076F39" w:rsidR="003738B8" w:rsidRDefault="003738B8" w:rsidP="00244AB4">
      <w:pPr>
        <w:pStyle w:val="NormalWeb"/>
        <w:spacing w:line="276" w:lineRule="auto"/>
        <w:jc w:val="both"/>
        <w:rPr>
          <w:rFonts w:ascii="Arial" w:hAnsi="Arial" w:cs="Arial"/>
          <w:sz w:val="22"/>
          <w:szCs w:val="22"/>
        </w:rPr>
      </w:pPr>
      <w:r>
        <w:rPr>
          <w:rFonts w:ascii="Arial" w:hAnsi="Arial" w:cs="Arial"/>
          <w:sz w:val="22"/>
          <w:szCs w:val="22"/>
        </w:rPr>
        <w:t>Table S</w:t>
      </w:r>
      <w:r w:rsidR="002B6236">
        <w:rPr>
          <w:rFonts w:ascii="Arial" w:hAnsi="Arial" w:cs="Arial"/>
          <w:sz w:val="22"/>
          <w:szCs w:val="22"/>
        </w:rPr>
        <w:t>7</w:t>
      </w:r>
      <w:r>
        <w:rPr>
          <w:rFonts w:ascii="Arial" w:hAnsi="Arial" w:cs="Arial"/>
          <w:sz w:val="22"/>
          <w:szCs w:val="22"/>
        </w:rPr>
        <w:t>. Information on 21 proteins common with other CKDs showing protein information and multiple comparisons results.</w:t>
      </w:r>
    </w:p>
    <w:p w14:paraId="63C4C728" w14:textId="6BF350C9" w:rsidR="00F07CDC" w:rsidRDefault="00F07CDC" w:rsidP="00F07CDC">
      <w:pPr>
        <w:pStyle w:val="NormalWeb"/>
        <w:spacing w:line="276" w:lineRule="auto"/>
        <w:jc w:val="both"/>
        <w:rPr>
          <w:rFonts w:ascii="Arial" w:hAnsi="Arial" w:cs="Arial"/>
          <w:sz w:val="22"/>
          <w:szCs w:val="22"/>
        </w:rPr>
      </w:pPr>
      <w:r>
        <w:rPr>
          <w:rFonts w:ascii="Arial" w:hAnsi="Arial" w:cs="Arial"/>
          <w:sz w:val="22"/>
          <w:szCs w:val="22"/>
        </w:rPr>
        <w:t>Table S</w:t>
      </w:r>
      <w:r w:rsidR="002B6236">
        <w:rPr>
          <w:rFonts w:ascii="Arial" w:hAnsi="Arial" w:cs="Arial"/>
          <w:sz w:val="22"/>
          <w:szCs w:val="22"/>
        </w:rPr>
        <w:t>8</w:t>
      </w:r>
      <w:r>
        <w:rPr>
          <w:rFonts w:ascii="Arial" w:hAnsi="Arial" w:cs="Arial"/>
          <w:sz w:val="22"/>
          <w:szCs w:val="22"/>
        </w:rPr>
        <w:t>. Information on 73 proteins common with mitochondrial disease showing protein information and multiple comparisons results.</w:t>
      </w:r>
    </w:p>
    <w:p w14:paraId="2899A0B0" w14:textId="77777777" w:rsidR="005A769C" w:rsidRDefault="005A769C" w:rsidP="00697B88">
      <w:pPr>
        <w:tabs>
          <w:tab w:val="left" w:pos="1890"/>
        </w:tabs>
        <w:spacing w:line="276" w:lineRule="auto"/>
        <w:jc w:val="both"/>
        <w:rPr>
          <w:rFonts w:ascii="Arial" w:hAnsi="Arial" w:cs="Arial"/>
          <w:sz w:val="22"/>
          <w:szCs w:val="22"/>
        </w:rPr>
      </w:pPr>
    </w:p>
    <w:p w14:paraId="71917329" w14:textId="77777777" w:rsidR="005A769C" w:rsidRDefault="005A769C" w:rsidP="00697B88">
      <w:pPr>
        <w:tabs>
          <w:tab w:val="left" w:pos="1890"/>
        </w:tabs>
        <w:spacing w:line="276" w:lineRule="auto"/>
        <w:jc w:val="both"/>
        <w:rPr>
          <w:rFonts w:ascii="Arial" w:hAnsi="Arial" w:cs="Arial"/>
          <w:sz w:val="22"/>
          <w:szCs w:val="22"/>
        </w:rPr>
      </w:pPr>
    </w:p>
    <w:p w14:paraId="11E5E377" w14:textId="77777777" w:rsidR="005A769C" w:rsidRPr="005A769C" w:rsidRDefault="005A769C" w:rsidP="005A769C">
      <w:pPr>
        <w:pStyle w:val="EndNoteBibliography"/>
        <w:spacing w:after="0"/>
        <w:rPr>
          <w:noProof/>
        </w:rPr>
      </w:pPr>
      <w:r>
        <w:rPr>
          <w:rFonts w:ascii="Arial" w:hAnsi="Arial" w:cs="Arial"/>
          <w:sz w:val="22"/>
          <w:szCs w:val="22"/>
        </w:rPr>
        <w:lastRenderedPageBreak/>
        <w:fldChar w:fldCharType="begin"/>
      </w:r>
      <w:r>
        <w:rPr>
          <w:rFonts w:ascii="Arial" w:hAnsi="Arial" w:cs="Arial"/>
          <w:sz w:val="22"/>
          <w:szCs w:val="22"/>
        </w:rPr>
        <w:instrText xml:space="preserve"> ADDIN EN.REFLIST </w:instrText>
      </w:r>
      <w:r>
        <w:rPr>
          <w:rFonts w:ascii="Arial" w:hAnsi="Arial" w:cs="Arial"/>
          <w:sz w:val="22"/>
          <w:szCs w:val="22"/>
        </w:rPr>
        <w:fldChar w:fldCharType="separate"/>
      </w:r>
      <w:bookmarkStart w:id="0" w:name="_ENREF_1"/>
      <w:r w:rsidRPr="005A769C">
        <w:rPr>
          <w:noProof/>
        </w:rPr>
        <w:t>1.</w:t>
      </w:r>
      <w:r w:rsidRPr="005A769C">
        <w:rPr>
          <w:noProof/>
        </w:rPr>
        <w:tab/>
      </w:r>
      <w:r w:rsidRPr="005A769C">
        <w:rPr>
          <w:b/>
          <w:noProof/>
        </w:rPr>
        <w:t>Feldreich T, Carlsson AC, Helmersson-Karlqvist J, Riserus U, Larsson A, Lind L, and Arnlov J</w:t>
      </w:r>
      <w:r w:rsidRPr="005A769C">
        <w:rPr>
          <w:noProof/>
        </w:rPr>
        <w:t xml:space="preserve">. Urinary Osteopontin Predicts Incident Chronic Kidney Disease, while Plasma Osteopontin Predicts Cardiovascular Death in Elderly Men. </w:t>
      </w:r>
      <w:r w:rsidRPr="005A769C">
        <w:rPr>
          <w:i/>
          <w:noProof/>
        </w:rPr>
        <w:t xml:space="preserve">Cardiorenal Med </w:t>
      </w:r>
      <w:r w:rsidRPr="005A769C">
        <w:rPr>
          <w:noProof/>
        </w:rPr>
        <w:t>7: 245-254, 2017.</w:t>
      </w:r>
      <w:bookmarkEnd w:id="0"/>
    </w:p>
    <w:p w14:paraId="19A6512C" w14:textId="77777777" w:rsidR="005A769C" w:rsidRPr="005A769C" w:rsidRDefault="005A769C" w:rsidP="005A769C">
      <w:pPr>
        <w:pStyle w:val="EndNoteBibliography"/>
        <w:spacing w:after="0"/>
        <w:rPr>
          <w:noProof/>
        </w:rPr>
      </w:pPr>
      <w:bookmarkStart w:id="1" w:name="_ENREF_2"/>
      <w:r w:rsidRPr="005A769C">
        <w:rPr>
          <w:noProof/>
        </w:rPr>
        <w:t>2.</w:t>
      </w:r>
      <w:r w:rsidRPr="005A769C">
        <w:rPr>
          <w:noProof/>
        </w:rPr>
        <w:tab/>
      </w:r>
      <w:r w:rsidRPr="005A769C">
        <w:rPr>
          <w:b/>
          <w:noProof/>
        </w:rPr>
        <w:t>Rossi L, Nicoletti MC, Carmosino M, Mastrofrancesco L, Di Franco A, Indrio F, Lella R, Laviola L, Giorgino F, Svelto M, Gesualdo L, and Procino G</w:t>
      </w:r>
      <w:r w:rsidRPr="005A769C">
        <w:rPr>
          <w:noProof/>
        </w:rPr>
        <w:t xml:space="preserve">. Urinary Excretion of Kidney Aquaporins as Possible Diagnostic Biomarker of Diabetic Nephropathy. </w:t>
      </w:r>
      <w:r w:rsidRPr="005A769C">
        <w:rPr>
          <w:i/>
          <w:noProof/>
        </w:rPr>
        <w:t xml:space="preserve">J Diabetes Res </w:t>
      </w:r>
      <w:r w:rsidRPr="005A769C">
        <w:rPr>
          <w:noProof/>
        </w:rPr>
        <w:t>2017: 4360357, 2017.</w:t>
      </w:r>
      <w:bookmarkEnd w:id="1"/>
    </w:p>
    <w:p w14:paraId="082CA959" w14:textId="77777777" w:rsidR="005A769C" w:rsidRPr="005A769C" w:rsidRDefault="005A769C" w:rsidP="005A769C">
      <w:pPr>
        <w:pStyle w:val="EndNoteBibliography"/>
        <w:spacing w:after="0"/>
        <w:rPr>
          <w:noProof/>
        </w:rPr>
      </w:pPr>
      <w:bookmarkStart w:id="2" w:name="_ENREF_3"/>
      <w:r w:rsidRPr="005A769C">
        <w:rPr>
          <w:noProof/>
        </w:rPr>
        <w:t>3.</w:t>
      </w:r>
      <w:r w:rsidRPr="005A769C">
        <w:rPr>
          <w:noProof/>
        </w:rPr>
        <w:tab/>
      </w:r>
      <w:r w:rsidRPr="005A769C">
        <w:rPr>
          <w:b/>
          <w:noProof/>
        </w:rPr>
        <w:t>Siddiqui K, Al-Malki B, George TP, Nawaz SS, and Rubeaan KA</w:t>
      </w:r>
      <w:r w:rsidRPr="005A769C">
        <w:rPr>
          <w:noProof/>
        </w:rPr>
        <w:t xml:space="preserve">. Urinary N-acetyl-beta-d-glucosaminidase (NAG) with neutrophil gelatinase-associated lipocalin (NGAL) improves the diagnostic value for proximal tubule damage in diabetic kidney disease. </w:t>
      </w:r>
      <w:r w:rsidRPr="005A769C">
        <w:rPr>
          <w:i/>
          <w:noProof/>
        </w:rPr>
        <w:t xml:space="preserve">3 Biotech </w:t>
      </w:r>
      <w:r w:rsidRPr="005A769C">
        <w:rPr>
          <w:noProof/>
        </w:rPr>
        <w:t>9: 66, 2019.</w:t>
      </w:r>
      <w:bookmarkEnd w:id="2"/>
    </w:p>
    <w:p w14:paraId="2025846D" w14:textId="77777777" w:rsidR="005A769C" w:rsidRPr="005A769C" w:rsidRDefault="005A769C" w:rsidP="005A769C">
      <w:pPr>
        <w:pStyle w:val="EndNoteBibliography"/>
        <w:spacing w:after="0"/>
        <w:rPr>
          <w:noProof/>
        </w:rPr>
      </w:pPr>
      <w:bookmarkStart w:id="3" w:name="_ENREF_4"/>
      <w:r w:rsidRPr="005A769C">
        <w:rPr>
          <w:noProof/>
        </w:rPr>
        <w:t>4.</w:t>
      </w:r>
      <w:r w:rsidRPr="005A769C">
        <w:rPr>
          <w:noProof/>
        </w:rPr>
        <w:tab/>
      </w:r>
      <w:r w:rsidRPr="005A769C">
        <w:rPr>
          <w:b/>
          <w:noProof/>
        </w:rPr>
        <w:t>Zhao L, Zhang Y, Liu F, Yang H, Zhong Y, Wang Y, Li S, Su Q, Tang L, Bai L, Ren H, Zou Y, Wang S, Zheng S, Xu H, Li L, Zhang J, Chai Z, Cooper ME, and Tong N</w:t>
      </w:r>
      <w:r w:rsidRPr="005A769C">
        <w:rPr>
          <w:noProof/>
        </w:rPr>
        <w:t xml:space="preserve">. Urinary complement proteins and risk of end-stage renal disease: quantitative urinary proteomics in patients with type 2 diabetes and biopsy-proven diabetic nephropathy. </w:t>
      </w:r>
      <w:r w:rsidRPr="005A769C">
        <w:rPr>
          <w:i/>
          <w:noProof/>
        </w:rPr>
        <w:t xml:space="preserve">J Endocrinol Invest </w:t>
      </w:r>
      <w:r w:rsidRPr="005A769C">
        <w:rPr>
          <w:noProof/>
        </w:rPr>
        <w:t>44: 2709-2723, 2021.</w:t>
      </w:r>
      <w:bookmarkEnd w:id="3"/>
    </w:p>
    <w:p w14:paraId="1CFCE982" w14:textId="77777777" w:rsidR="005A769C" w:rsidRPr="005A769C" w:rsidRDefault="005A769C" w:rsidP="005A769C">
      <w:pPr>
        <w:pStyle w:val="EndNoteBibliography"/>
        <w:spacing w:after="0"/>
        <w:rPr>
          <w:noProof/>
        </w:rPr>
      </w:pPr>
      <w:bookmarkStart w:id="4" w:name="_ENREF_5"/>
      <w:r w:rsidRPr="005A769C">
        <w:rPr>
          <w:noProof/>
        </w:rPr>
        <w:t>5.</w:t>
      </w:r>
      <w:r w:rsidRPr="005A769C">
        <w:rPr>
          <w:noProof/>
        </w:rPr>
        <w:tab/>
      </w:r>
      <w:r w:rsidRPr="005A769C">
        <w:rPr>
          <w:b/>
          <w:noProof/>
        </w:rPr>
        <w:t>Yuruk Yildirim ZN, Usta Akgul S, Alpay H, Aksu B, Savran Oguz F, Kiyak A, Akinci N, Yavuz S, Ozcelik G, Gedikbasi A, Gokce I, Ozkayin N, Yildiz N, Pehlivanoglu C, Goknar N, Saygili S, Tulpar S, Kucuk N, Bilge I, Tasdemir M, Agbas A, Dirican A, Emre S, Nayir A, and Yilmaz A</w:t>
      </w:r>
      <w:r w:rsidRPr="005A769C">
        <w:rPr>
          <w:noProof/>
        </w:rPr>
        <w:t xml:space="preserve">. PROGRESS STUDY: Progression of chronic kidney disease in children and heat shock proteins. </w:t>
      </w:r>
      <w:r w:rsidRPr="005A769C">
        <w:rPr>
          <w:i/>
          <w:noProof/>
        </w:rPr>
        <w:t xml:space="preserve">Cell Stress Chaperones </w:t>
      </w:r>
      <w:r w:rsidRPr="005A769C">
        <w:rPr>
          <w:noProof/>
        </w:rPr>
        <w:t>26: 973-987, 2021.</w:t>
      </w:r>
      <w:bookmarkEnd w:id="4"/>
    </w:p>
    <w:p w14:paraId="7C1CE34E" w14:textId="77777777" w:rsidR="005A769C" w:rsidRPr="005A769C" w:rsidRDefault="005A769C" w:rsidP="005A769C">
      <w:pPr>
        <w:pStyle w:val="EndNoteBibliography"/>
        <w:spacing w:after="0"/>
        <w:rPr>
          <w:noProof/>
        </w:rPr>
      </w:pPr>
      <w:bookmarkStart w:id="5" w:name="_ENREF_6"/>
      <w:r w:rsidRPr="005A769C">
        <w:rPr>
          <w:noProof/>
        </w:rPr>
        <w:t>6.</w:t>
      </w:r>
      <w:r w:rsidRPr="005A769C">
        <w:rPr>
          <w:noProof/>
        </w:rPr>
        <w:tab/>
      </w:r>
      <w:r w:rsidRPr="005A769C">
        <w:rPr>
          <w:b/>
          <w:noProof/>
        </w:rPr>
        <w:t>Eikelboom J, Floege J, Thadhani R, Weitz JI, and Winkelmayer WC</w:t>
      </w:r>
      <w:r w:rsidRPr="005A769C">
        <w:rPr>
          <w:noProof/>
        </w:rPr>
        <w:t xml:space="preserve">. Anticoagulation in patients with kidney failure on dialysis: factor XI as a therapeutic target. </w:t>
      </w:r>
      <w:r w:rsidRPr="005A769C">
        <w:rPr>
          <w:i/>
          <w:noProof/>
        </w:rPr>
        <w:t xml:space="preserve">Kidney Int </w:t>
      </w:r>
      <w:r w:rsidRPr="005A769C">
        <w:rPr>
          <w:noProof/>
        </w:rPr>
        <w:t>100: 1199-1207, 2021.</w:t>
      </w:r>
      <w:bookmarkEnd w:id="5"/>
    </w:p>
    <w:p w14:paraId="3EE95D31" w14:textId="77777777" w:rsidR="005A769C" w:rsidRPr="005A769C" w:rsidRDefault="005A769C" w:rsidP="005A769C">
      <w:pPr>
        <w:pStyle w:val="EndNoteBibliography"/>
        <w:rPr>
          <w:noProof/>
        </w:rPr>
      </w:pPr>
      <w:bookmarkStart w:id="6" w:name="_ENREF_7"/>
      <w:r w:rsidRPr="005A769C">
        <w:rPr>
          <w:noProof/>
        </w:rPr>
        <w:t>7.</w:t>
      </w:r>
      <w:r w:rsidRPr="005A769C">
        <w:rPr>
          <w:noProof/>
        </w:rPr>
        <w:tab/>
      </w:r>
      <w:r w:rsidRPr="005A769C">
        <w:rPr>
          <w:b/>
          <w:noProof/>
        </w:rPr>
        <w:t>Jin J, Gong J, Zhao L, Li Y, Wang Y, and He Q</w:t>
      </w:r>
      <w:r w:rsidRPr="005A769C">
        <w:rPr>
          <w:noProof/>
        </w:rPr>
        <w:t xml:space="preserve">. iTRAQ-based comparative proteomics analysis reveals specific urinary biomarkers for various kidney diseases. </w:t>
      </w:r>
      <w:r w:rsidRPr="005A769C">
        <w:rPr>
          <w:i/>
          <w:noProof/>
        </w:rPr>
        <w:t xml:space="preserve">Biomark Med </w:t>
      </w:r>
      <w:r w:rsidRPr="005A769C">
        <w:rPr>
          <w:noProof/>
        </w:rPr>
        <w:t>14: 839-854, 2020.</w:t>
      </w:r>
      <w:bookmarkEnd w:id="6"/>
    </w:p>
    <w:p w14:paraId="7313D030" w14:textId="7B491CF8" w:rsidR="00244AB4" w:rsidRDefault="005A769C" w:rsidP="005A769C">
      <w:pPr>
        <w:tabs>
          <w:tab w:val="left" w:pos="1890"/>
        </w:tabs>
        <w:spacing w:line="276" w:lineRule="auto"/>
        <w:jc w:val="both"/>
        <w:rPr>
          <w:rFonts w:ascii="Arial" w:hAnsi="Arial" w:cs="Arial"/>
          <w:sz w:val="22"/>
          <w:szCs w:val="22"/>
        </w:rPr>
      </w:pPr>
      <w:r>
        <w:rPr>
          <w:rFonts w:ascii="Arial" w:hAnsi="Arial" w:cs="Arial"/>
          <w:sz w:val="22"/>
          <w:szCs w:val="22"/>
        </w:rPr>
        <w:fldChar w:fldCharType="end"/>
      </w:r>
    </w:p>
    <w:sectPr w:rsidR="00244AB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notTrueType/>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JP Regula Int Comp Phys&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0atfze5sdeawrve0tf2xffdzw2rfxrdpfwef&quot;&gt;CKDu EndNote Library&lt;record-ids&gt;&lt;item&gt;46&lt;/item&gt;&lt;item&gt;48&lt;/item&gt;&lt;item&gt;52&lt;/item&gt;&lt;item&gt;103&lt;/item&gt;&lt;item&gt;123&lt;/item&gt;&lt;item&gt;124&lt;/item&gt;&lt;item&gt;129&lt;/item&gt;&lt;/record-ids&gt;&lt;/item&gt;&lt;/Libraries&gt;"/>
  </w:docVars>
  <w:rsids>
    <w:rsidRoot w:val="001B4266"/>
    <w:rsid w:val="000275C0"/>
    <w:rsid w:val="001A21D9"/>
    <w:rsid w:val="001B4266"/>
    <w:rsid w:val="001C6579"/>
    <w:rsid w:val="00232BA4"/>
    <w:rsid w:val="00232E0E"/>
    <w:rsid w:val="00244AB4"/>
    <w:rsid w:val="002B6236"/>
    <w:rsid w:val="002E7ACF"/>
    <w:rsid w:val="002F6FD0"/>
    <w:rsid w:val="002F7D39"/>
    <w:rsid w:val="00305EE2"/>
    <w:rsid w:val="00331EB4"/>
    <w:rsid w:val="003738B8"/>
    <w:rsid w:val="003C0ABE"/>
    <w:rsid w:val="003E635E"/>
    <w:rsid w:val="00434402"/>
    <w:rsid w:val="004905B9"/>
    <w:rsid w:val="00594C0B"/>
    <w:rsid w:val="005A29C9"/>
    <w:rsid w:val="005A769C"/>
    <w:rsid w:val="005D454A"/>
    <w:rsid w:val="005D517D"/>
    <w:rsid w:val="0060797A"/>
    <w:rsid w:val="0066147D"/>
    <w:rsid w:val="00692411"/>
    <w:rsid w:val="00697B88"/>
    <w:rsid w:val="006E2C53"/>
    <w:rsid w:val="007676E7"/>
    <w:rsid w:val="0077322A"/>
    <w:rsid w:val="007E27B6"/>
    <w:rsid w:val="0087538A"/>
    <w:rsid w:val="00887725"/>
    <w:rsid w:val="0089700A"/>
    <w:rsid w:val="008B4839"/>
    <w:rsid w:val="009029FF"/>
    <w:rsid w:val="00903C28"/>
    <w:rsid w:val="00924ABD"/>
    <w:rsid w:val="009472E6"/>
    <w:rsid w:val="009877B4"/>
    <w:rsid w:val="009B54B3"/>
    <w:rsid w:val="00A36F82"/>
    <w:rsid w:val="00A43C48"/>
    <w:rsid w:val="00A64490"/>
    <w:rsid w:val="00A94905"/>
    <w:rsid w:val="00AB7726"/>
    <w:rsid w:val="00BF17E7"/>
    <w:rsid w:val="00C35549"/>
    <w:rsid w:val="00C97A57"/>
    <w:rsid w:val="00CC20C0"/>
    <w:rsid w:val="00CC6EDF"/>
    <w:rsid w:val="00D22359"/>
    <w:rsid w:val="00DA729C"/>
    <w:rsid w:val="00E0523F"/>
    <w:rsid w:val="00E65C84"/>
    <w:rsid w:val="00EA7942"/>
    <w:rsid w:val="00F07CDC"/>
    <w:rsid w:val="00F15286"/>
    <w:rsid w:val="00F327F6"/>
    <w:rsid w:val="00F61EDC"/>
    <w:rsid w:val="00F90DF9"/>
    <w:rsid w:val="00FB2EDF"/>
    <w:rsid w:val="00FD03C1"/>
    <w:rsid w:val="00FE0C2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146E88"/>
  <w15:chartTrackingRefBased/>
  <w15:docId w15:val="{AC5B34DD-9784-974E-92F2-F497A7844F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uiPriority w:val="99"/>
    <w:semiHidden/>
    <w:unhideWhenUsed/>
    <w:rsid w:val="00BF17E7"/>
    <w:rPr>
      <w:vertAlign w:val="superscript"/>
    </w:rPr>
  </w:style>
  <w:style w:type="paragraph" w:customStyle="1" w:styleId="EndNoteBibliography">
    <w:name w:val="EndNote Bibliography"/>
    <w:rsid w:val="00BF17E7"/>
    <w:pPr>
      <w:pBdr>
        <w:top w:val="nil"/>
        <w:left w:val="nil"/>
        <w:bottom w:val="nil"/>
        <w:right w:val="nil"/>
        <w:between w:val="nil"/>
        <w:bar w:val="nil"/>
      </w:pBdr>
      <w:spacing w:after="160"/>
    </w:pPr>
    <w:rPr>
      <w:rFonts w:ascii="Calibri" w:eastAsia="Arial" w:hAnsi="Calibri" w:cs="Calibri"/>
      <w:color w:val="000000"/>
      <w:u w:color="000000"/>
      <w:bdr w:val="nil"/>
      <w14:textOutline w14:w="0" w14:cap="flat" w14:cmpd="sng" w14:algn="ctr">
        <w14:noFill/>
        <w14:prstDash w14:val="solid"/>
        <w14:bevel/>
      </w14:textOutline>
    </w:rPr>
  </w:style>
  <w:style w:type="paragraph" w:styleId="EndnoteText">
    <w:name w:val="endnote text"/>
    <w:basedOn w:val="Normal"/>
    <w:link w:val="EndnoteTextChar"/>
    <w:uiPriority w:val="99"/>
    <w:semiHidden/>
    <w:unhideWhenUsed/>
    <w:rsid w:val="00BF17E7"/>
    <w:rPr>
      <w:sz w:val="20"/>
      <w:szCs w:val="20"/>
    </w:rPr>
  </w:style>
  <w:style w:type="character" w:customStyle="1" w:styleId="EndnoteTextChar">
    <w:name w:val="Endnote Text Char"/>
    <w:basedOn w:val="DefaultParagraphFont"/>
    <w:link w:val="EndnoteText"/>
    <w:uiPriority w:val="99"/>
    <w:semiHidden/>
    <w:rsid w:val="00BF17E7"/>
    <w:rPr>
      <w:sz w:val="20"/>
      <w:szCs w:val="20"/>
    </w:rPr>
  </w:style>
  <w:style w:type="paragraph" w:customStyle="1" w:styleId="EndNoteBibliographyTitle">
    <w:name w:val="EndNote Bibliography Title"/>
    <w:basedOn w:val="Normal"/>
    <w:link w:val="EndNoteBibliographyTitleChar"/>
    <w:rsid w:val="00DA729C"/>
    <w:pPr>
      <w:pBdr>
        <w:top w:val="nil"/>
        <w:left w:val="nil"/>
        <w:bottom w:val="nil"/>
        <w:right w:val="nil"/>
        <w:between w:val="nil"/>
        <w:bar w:val="nil"/>
      </w:pBdr>
      <w:jc w:val="center"/>
    </w:pPr>
    <w:rPr>
      <w:rFonts w:ascii="Calibri" w:eastAsia="Arial Unicode MS" w:hAnsi="Calibri" w:cs="Calibri"/>
      <w:noProof/>
      <w:bdr w:val="nil"/>
    </w:rPr>
  </w:style>
  <w:style w:type="character" w:customStyle="1" w:styleId="EndNoteBibliographyTitleChar">
    <w:name w:val="EndNote Bibliography Title Char"/>
    <w:basedOn w:val="DefaultParagraphFont"/>
    <w:link w:val="EndNoteBibliographyTitle"/>
    <w:rsid w:val="00DA729C"/>
    <w:rPr>
      <w:rFonts w:ascii="Calibri" w:eastAsia="Arial Unicode MS" w:hAnsi="Calibri" w:cs="Calibri"/>
      <w:noProof/>
      <w:bdr w:val="nil"/>
    </w:rPr>
  </w:style>
  <w:style w:type="paragraph" w:styleId="NormalWeb">
    <w:name w:val="Normal (Web)"/>
    <w:basedOn w:val="Normal"/>
    <w:uiPriority w:val="99"/>
    <w:semiHidden/>
    <w:unhideWhenUsed/>
    <w:rsid w:val="00C3554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697B88"/>
  </w:style>
  <w:style w:type="character" w:styleId="Hyperlink">
    <w:name w:val="Hyperlink"/>
    <w:basedOn w:val="DefaultParagraphFont"/>
    <w:uiPriority w:val="99"/>
    <w:unhideWhenUsed/>
    <w:rsid w:val="005A769C"/>
    <w:rPr>
      <w:color w:val="0563C1" w:themeColor="hyperlink"/>
      <w:u w:val="single"/>
    </w:rPr>
  </w:style>
  <w:style w:type="character" w:styleId="UnresolvedMention">
    <w:name w:val="Unresolved Mention"/>
    <w:basedOn w:val="DefaultParagraphFont"/>
    <w:uiPriority w:val="99"/>
    <w:semiHidden/>
    <w:unhideWhenUsed/>
    <w:rsid w:val="005A76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173894">
      <w:bodyDiv w:val="1"/>
      <w:marLeft w:val="0"/>
      <w:marRight w:val="0"/>
      <w:marTop w:val="0"/>
      <w:marBottom w:val="0"/>
      <w:divBdr>
        <w:top w:val="none" w:sz="0" w:space="0" w:color="auto"/>
        <w:left w:val="none" w:sz="0" w:space="0" w:color="auto"/>
        <w:bottom w:val="none" w:sz="0" w:space="0" w:color="auto"/>
        <w:right w:val="none" w:sz="0" w:space="0" w:color="auto"/>
      </w:divBdr>
      <w:divsChild>
        <w:div w:id="249899348">
          <w:marLeft w:val="0"/>
          <w:marRight w:val="0"/>
          <w:marTop w:val="0"/>
          <w:marBottom w:val="0"/>
          <w:divBdr>
            <w:top w:val="none" w:sz="0" w:space="0" w:color="auto"/>
            <w:left w:val="none" w:sz="0" w:space="0" w:color="auto"/>
            <w:bottom w:val="none" w:sz="0" w:space="0" w:color="auto"/>
            <w:right w:val="none" w:sz="0" w:space="0" w:color="auto"/>
          </w:divBdr>
          <w:divsChild>
            <w:div w:id="502669174">
              <w:marLeft w:val="0"/>
              <w:marRight w:val="0"/>
              <w:marTop w:val="0"/>
              <w:marBottom w:val="0"/>
              <w:divBdr>
                <w:top w:val="none" w:sz="0" w:space="0" w:color="auto"/>
                <w:left w:val="none" w:sz="0" w:space="0" w:color="auto"/>
                <w:bottom w:val="none" w:sz="0" w:space="0" w:color="auto"/>
                <w:right w:val="none" w:sz="0" w:space="0" w:color="auto"/>
              </w:divBdr>
              <w:divsChild>
                <w:div w:id="193077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723466">
      <w:bodyDiv w:val="1"/>
      <w:marLeft w:val="0"/>
      <w:marRight w:val="0"/>
      <w:marTop w:val="0"/>
      <w:marBottom w:val="0"/>
      <w:divBdr>
        <w:top w:val="none" w:sz="0" w:space="0" w:color="auto"/>
        <w:left w:val="none" w:sz="0" w:space="0" w:color="auto"/>
        <w:bottom w:val="none" w:sz="0" w:space="0" w:color="auto"/>
        <w:right w:val="none" w:sz="0" w:space="0" w:color="auto"/>
      </w:divBdr>
      <w:divsChild>
        <w:div w:id="200167007">
          <w:marLeft w:val="0"/>
          <w:marRight w:val="0"/>
          <w:marTop w:val="0"/>
          <w:marBottom w:val="0"/>
          <w:divBdr>
            <w:top w:val="none" w:sz="0" w:space="0" w:color="auto"/>
            <w:left w:val="none" w:sz="0" w:space="0" w:color="auto"/>
            <w:bottom w:val="none" w:sz="0" w:space="0" w:color="auto"/>
            <w:right w:val="none" w:sz="0" w:space="0" w:color="auto"/>
          </w:divBdr>
          <w:divsChild>
            <w:div w:id="1392996297">
              <w:marLeft w:val="0"/>
              <w:marRight w:val="0"/>
              <w:marTop w:val="0"/>
              <w:marBottom w:val="0"/>
              <w:divBdr>
                <w:top w:val="none" w:sz="0" w:space="0" w:color="auto"/>
                <w:left w:val="none" w:sz="0" w:space="0" w:color="auto"/>
                <w:bottom w:val="none" w:sz="0" w:space="0" w:color="auto"/>
                <w:right w:val="none" w:sz="0" w:space="0" w:color="auto"/>
              </w:divBdr>
              <w:divsChild>
                <w:div w:id="98154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872744">
      <w:bodyDiv w:val="1"/>
      <w:marLeft w:val="0"/>
      <w:marRight w:val="0"/>
      <w:marTop w:val="0"/>
      <w:marBottom w:val="0"/>
      <w:divBdr>
        <w:top w:val="none" w:sz="0" w:space="0" w:color="auto"/>
        <w:left w:val="none" w:sz="0" w:space="0" w:color="auto"/>
        <w:bottom w:val="none" w:sz="0" w:space="0" w:color="auto"/>
        <w:right w:val="none" w:sz="0" w:space="0" w:color="auto"/>
      </w:divBdr>
      <w:divsChild>
        <w:div w:id="520552949">
          <w:marLeft w:val="0"/>
          <w:marRight w:val="0"/>
          <w:marTop w:val="0"/>
          <w:marBottom w:val="0"/>
          <w:divBdr>
            <w:top w:val="none" w:sz="0" w:space="0" w:color="auto"/>
            <w:left w:val="none" w:sz="0" w:space="0" w:color="auto"/>
            <w:bottom w:val="none" w:sz="0" w:space="0" w:color="auto"/>
            <w:right w:val="none" w:sz="0" w:space="0" w:color="auto"/>
          </w:divBdr>
          <w:divsChild>
            <w:div w:id="966157373">
              <w:marLeft w:val="0"/>
              <w:marRight w:val="0"/>
              <w:marTop w:val="0"/>
              <w:marBottom w:val="0"/>
              <w:divBdr>
                <w:top w:val="none" w:sz="0" w:space="0" w:color="auto"/>
                <w:left w:val="none" w:sz="0" w:space="0" w:color="auto"/>
                <w:bottom w:val="none" w:sz="0" w:space="0" w:color="auto"/>
                <w:right w:val="none" w:sz="0" w:space="0" w:color="auto"/>
              </w:divBdr>
              <w:divsChild>
                <w:div w:id="209508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953129">
      <w:bodyDiv w:val="1"/>
      <w:marLeft w:val="0"/>
      <w:marRight w:val="0"/>
      <w:marTop w:val="0"/>
      <w:marBottom w:val="0"/>
      <w:divBdr>
        <w:top w:val="none" w:sz="0" w:space="0" w:color="auto"/>
        <w:left w:val="none" w:sz="0" w:space="0" w:color="auto"/>
        <w:bottom w:val="none" w:sz="0" w:space="0" w:color="auto"/>
        <w:right w:val="none" w:sz="0" w:space="0" w:color="auto"/>
      </w:divBdr>
      <w:divsChild>
        <w:div w:id="219512615">
          <w:marLeft w:val="0"/>
          <w:marRight w:val="0"/>
          <w:marTop w:val="0"/>
          <w:marBottom w:val="0"/>
          <w:divBdr>
            <w:top w:val="none" w:sz="0" w:space="0" w:color="auto"/>
            <w:left w:val="none" w:sz="0" w:space="0" w:color="auto"/>
            <w:bottom w:val="none" w:sz="0" w:space="0" w:color="auto"/>
            <w:right w:val="none" w:sz="0" w:space="0" w:color="auto"/>
          </w:divBdr>
          <w:divsChild>
            <w:div w:id="1879731825">
              <w:marLeft w:val="0"/>
              <w:marRight w:val="0"/>
              <w:marTop w:val="0"/>
              <w:marBottom w:val="0"/>
              <w:divBdr>
                <w:top w:val="none" w:sz="0" w:space="0" w:color="auto"/>
                <w:left w:val="none" w:sz="0" w:space="0" w:color="auto"/>
                <w:bottom w:val="none" w:sz="0" w:space="0" w:color="auto"/>
                <w:right w:val="none" w:sz="0" w:space="0" w:color="auto"/>
              </w:divBdr>
              <w:divsChild>
                <w:div w:id="29047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038461">
      <w:bodyDiv w:val="1"/>
      <w:marLeft w:val="0"/>
      <w:marRight w:val="0"/>
      <w:marTop w:val="0"/>
      <w:marBottom w:val="0"/>
      <w:divBdr>
        <w:top w:val="none" w:sz="0" w:space="0" w:color="auto"/>
        <w:left w:val="none" w:sz="0" w:space="0" w:color="auto"/>
        <w:bottom w:val="none" w:sz="0" w:space="0" w:color="auto"/>
        <w:right w:val="none" w:sz="0" w:space="0" w:color="auto"/>
      </w:divBdr>
      <w:divsChild>
        <w:div w:id="104934191">
          <w:marLeft w:val="0"/>
          <w:marRight w:val="0"/>
          <w:marTop w:val="0"/>
          <w:marBottom w:val="0"/>
          <w:divBdr>
            <w:top w:val="none" w:sz="0" w:space="0" w:color="auto"/>
            <w:left w:val="none" w:sz="0" w:space="0" w:color="auto"/>
            <w:bottom w:val="none" w:sz="0" w:space="0" w:color="auto"/>
            <w:right w:val="none" w:sz="0" w:space="0" w:color="auto"/>
          </w:divBdr>
          <w:divsChild>
            <w:div w:id="1259755796">
              <w:marLeft w:val="0"/>
              <w:marRight w:val="0"/>
              <w:marTop w:val="0"/>
              <w:marBottom w:val="0"/>
              <w:divBdr>
                <w:top w:val="none" w:sz="0" w:space="0" w:color="auto"/>
                <w:left w:val="none" w:sz="0" w:space="0" w:color="auto"/>
                <w:bottom w:val="none" w:sz="0" w:space="0" w:color="auto"/>
                <w:right w:val="none" w:sz="0" w:space="0" w:color="auto"/>
              </w:divBdr>
              <w:divsChild>
                <w:div w:id="45667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218639">
      <w:bodyDiv w:val="1"/>
      <w:marLeft w:val="0"/>
      <w:marRight w:val="0"/>
      <w:marTop w:val="0"/>
      <w:marBottom w:val="0"/>
      <w:divBdr>
        <w:top w:val="none" w:sz="0" w:space="0" w:color="auto"/>
        <w:left w:val="none" w:sz="0" w:space="0" w:color="auto"/>
        <w:bottom w:val="none" w:sz="0" w:space="0" w:color="auto"/>
        <w:right w:val="none" w:sz="0" w:space="0" w:color="auto"/>
      </w:divBdr>
    </w:div>
    <w:div w:id="1287807621">
      <w:bodyDiv w:val="1"/>
      <w:marLeft w:val="0"/>
      <w:marRight w:val="0"/>
      <w:marTop w:val="0"/>
      <w:marBottom w:val="0"/>
      <w:divBdr>
        <w:top w:val="none" w:sz="0" w:space="0" w:color="auto"/>
        <w:left w:val="none" w:sz="0" w:space="0" w:color="auto"/>
        <w:bottom w:val="none" w:sz="0" w:space="0" w:color="auto"/>
        <w:right w:val="none" w:sz="0" w:space="0" w:color="auto"/>
      </w:divBdr>
      <w:divsChild>
        <w:div w:id="738016159">
          <w:marLeft w:val="0"/>
          <w:marRight w:val="0"/>
          <w:marTop w:val="0"/>
          <w:marBottom w:val="0"/>
          <w:divBdr>
            <w:top w:val="none" w:sz="0" w:space="0" w:color="auto"/>
            <w:left w:val="none" w:sz="0" w:space="0" w:color="auto"/>
            <w:bottom w:val="none" w:sz="0" w:space="0" w:color="auto"/>
            <w:right w:val="none" w:sz="0" w:space="0" w:color="auto"/>
          </w:divBdr>
          <w:divsChild>
            <w:div w:id="575433029">
              <w:marLeft w:val="0"/>
              <w:marRight w:val="0"/>
              <w:marTop w:val="0"/>
              <w:marBottom w:val="0"/>
              <w:divBdr>
                <w:top w:val="none" w:sz="0" w:space="0" w:color="auto"/>
                <w:left w:val="none" w:sz="0" w:space="0" w:color="auto"/>
                <w:bottom w:val="none" w:sz="0" w:space="0" w:color="auto"/>
                <w:right w:val="none" w:sz="0" w:space="0" w:color="auto"/>
              </w:divBdr>
              <w:divsChild>
                <w:div w:id="166153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256679">
      <w:bodyDiv w:val="1"/>
      <w:marLeft w:val="0"/>
      <w:marRight w:val="0"/>
      <w:marTop w:val="0"/>
      <w:marBottom w:val="0"/>
      <w:divBdr>
        <w:top w:val="none" w:sz="0" w:space="0" w:color="auto"/>
        <w:left w:val="none" w:sz="0" w:space="0" w:color="auto"/>
        <w:bottom w:val="none" w:sz="0" w:space="0" w:color="auto"/>
        <w:right w:val="none" w:sz="0" w:space="0" w:color="auto"/>
      </w:divBdr>
      <w:divsChild>
        <w:div w:id="1107580379">
          <w:marLeft w:val="0"/>
          <w:marRight w:val="0"/>
          <w:marTop w:val="0"/>
          <w:marBottom w:val="0"/>
          <w:divBdr>
            <w:top w:val="none" w:sz="0" w:space="0" w:color="auto"/>
            <w:left w:val="none" w:sz="0" w:space="0" w:color="auto"/>
            <w:bottom w:val="none" w:sz="0" w:space="0" w:color="auto"/>
            <w:right w:val="none" w:sz="0" w:space="0" w:color="auto"/>
          </w:divBdr>
        </w:div>
      </w:divsChild>
    </w:div>
    <w:div w:id="1455826159">
      <w:bodyDiv w:val="1"/>
      <w:marLeft w:val="0"/>
      <w:marRight w:val="0"/>
      <w:marTop w:val="0"/>
      <w:marBottom w:val="0"/>
      <w:divBdr>
        <w:top w:val="none" w:sz="0" w:space="0" w:color="auto"/>
        <w:left w:val="none" w:sz="0" w:space="0" w:color="auto"/>
        <w:bottom w:val="none" w:sz="0" w:space="0" w:color="auto"/>
        <w:right w:val="none" w:sz="0" w:space="0" w:color="auto"/>
      </w:divBdr>
      <w:divsChild>
        <w:div w:id="1783105645">
          <w:marLeft w:val="0"/>
          <w:marRight w:val="0"/>
          <w:marTop w:val="0"/>
          <w:marBottom w:val="0"/>
          <w:divBdr>
            <w:top w:val="none" w:sz="0" w:space="0" w:color="auto"/>
            <w:left w:val="none" w:sz="0" w:space="0" w:color="auto"/>
            <w:bottom w:val="none" w:sz="0" w:space="0" w:color="auto"/>
            <w:right w:val="none" w:sz="0" w:space="0" w:color="auto"/>
          </w:divBdr>
          <w:divsChild>
            <w:div w:id="1007368215">
              <w:marLeft w:val="0"/>
              <w:marRight w:val="0"/>
              <w:marTop w:val="0"/>
              <w:marBottom w:val="0"/>
              <w:divBdr>
                <w:top w:val="none" w:sz="0" w:space="0" w:color="auto"/>
                <w:left w:val="none" w:sz="0" w:space="0" w:color="auto"/>
                <w:bottom w:val="none" w:sz="0" w:space="0" w:color="auto"/>
                <w:right w:val="none" w:sz="0" w:space="0" w:color="auto"/>
              </w:divBdr>
              <w:divsChild>
                <w:div w:id="9315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576535">
      <w:bodyDiv w:val="1"/>
      <w:marLeft w:val="0"/>
      <w:marRight w:val="0"/>
      <w:marTop w:val="0"/>
      <w:marBottom w:val="0"/>
      <w:divBdr>
        <w:top w:val="none" w:sz="0" w:space="0" w:color="auto"/>
        <w:left w:val="none" w:sz="0" w:space="0" w:color="auto"/>
        <w:bottom w:val="none" w:sz="0" w:space="0" w:color="auto"/>
        <w:right w:val="none" w:sz="0" w:space="0" w:color="auto"/>
      </w:divBdr>
      <w:divsChild>
        <w:div w:id="583803105">
          <w:marLeft w:val="0"/>
          <w:marRight w:val="0"/>
          <w:marTop w:val="0"/>
          <w:marBottom w:val="0"/>
          <w:divBdr>
            <w:top w:val="none" w:sz="0" w:space="0" w:color="auto"/>
            <w:left w:val="none" w:sz="0" w:space="0" w:color="auto"/>
            <w:bottom w:val="none" w:sz="0" w:space="0" w:color="auto"/>
            <w:right w:val="none" w:sz="0" w:space="0" w:color="auto"/>
          </w:divBdr>
          <w:divsChild>
            <w:div w:id="447894311">
              <w:marLeft w:val="0"/>
              <w:marRight w:val="0"/>
              <w:marTop w:val="0"/>
              <w:marBottom w:val="0"/>
              <w:divBdr>
                <w:top w:val="none" w:sz="0" w:space="0" w:color="auto"/>
                <w:left w:val="none" w:sz="0" w:space="0" w:color="auto"/>
                <w:bottom w:val="none" w:sz="0" w:space="0" w:color="auto"/>
                <w:right w:val="none" w:sz="0" w:space="0" w:color="auto"/>
              </w:divBdr>
              <w:divsChild>
                <w:div w:id="202736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503552">
      <w:bodyDiv w:val="1"/>
      <w:marLeft w:val="0"/>
      <w:marRight w:val="0"/>
      <w:marTop w:val="0"/>
      <w:marBottom w:val="0"/>
      <w:divBdr>
        <w:top w:val="none" w:sz="0" w:space="0" w:color="auto"/>
        <w:left w:val="none" w:sz="0" w:space="0" w:color="auto"/>
        <w:bottom w:val="none" w:sz="0" w:space="0" w:color="auto"/>
        <w:right w:val="none" w:sz="0" w:space="0" w:color="auto"/>
      </w:divBdr>
    </w:div>
    <w:div w:id="1745684483">
      <w:bodyDiv w:val="1"/>
      <w:marLeft w:val="0"/>
      <w:marRight w:val="0"/>
      <w:marTop w:val="0"/>
      <w:marBottom w:val="0"/>
      <w:divBdr>
        <w:top w:val="none" w:sz="0" w:space="0" w:color="auto"/>
        <w:left w:val="none" w:sz="0" w:space="0" w:color="auto"/>
        <w:bottom w:val="none" w:sz="0" w:space="0" w:color="auto"/>
        <w:right w:val="none" w:sz="0" w:space="0" w:color="auto"/>
      </w:divBdr>
      <w:divsChild>
        <w:div w:id="549389205">
          <w:marLeft w:val="0"/>
          <w:marRight w:val="0"/>
          <w:marTop w:val="0"/>
          <w:marBottom w:val="0"/>
          <w:divBdr>
            <w:top w:val="none" w:sz="0" w:space="0" w:color="auto"/>
            <w:left w:val="none" w:sz="0" w:space="0" w:color="auto"/>
            <w:bottom w:val="none" w:sz="0" w:space="0" w:color="auto"/>
            <w:right w:val="none" w:sz="0" w:space="0" w:color="auto"/>
          </w:divBdr>
          <w:divsChild>
            <w:div w:id="372268693">
              <w:marLeft w:val="0"/>
              <w:marRight w:val="0"/>
              <w:marTop w:val="0"/>
              <w:marBottom w:val="0"/>
              <w:divBdr>
                <w:top w:val="none" w:sz="0" w:space="0" w:color="auto"/>
                <w:left w:val="none" w:sz="0" w:space="0" w:color="auto"/>
                <w:bottom w:val="none" w:sz="0" w:space="0" w:color="auto"/>
                <w:right w:val="none" w:sz="0" w:space="0" w:color="auto"/>
              </w:divBdr>
              <w:divsChild>
                <w:div w:id="41867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575917">
      <w:bodyDiv w:val="1"/>
      <w:marLeft w:val="0"/>
      <w:marRight w:val="0"/>
      <w:marTop w:val="0"/>
      <w:marBottom w:val="0"/>
      <w:divBdr>
        <w:top w:val="none" w:sz="0" w:space="0" w:color="auto"/>
        <w:left w:val="none" w:sz="0" w:space="0" w:color="auto"/>
        <w:bottom w:val="none" w:sz="0" w:space="0" w:color="auto"/>
        <w:right w:val="none" w:sz="0" w:space="0" w:color="auto"/>
      </w:divBdr>
      <w:divsChild>
        <w:div w:id="1022048793">
          <w:marLeft w:val="0"/>
          <w:marRight w:val="0"/>
          <w:marTop w:val="0"/>
          <w:marBottom w:val="0"/>
          <w:divBdr>
            <w:top w:val="none" w:sz="0" w:space="0" w:color="auto"/>
            <w:left w:val="none" w:sz="0" w:space="0" w:color="auto"/>
            <w:bottom w:val="none" w:sz="0" w:space="0" w:color="auto"/>
            <w:right w:val="none" w:sz="0" w:space="0" w:color="auto"/>
          </w:divBdr>
          <w:divsChild>
            <w:div w:id="2090693111">
              <w:marLeft w:val="0"/>
              <w:marRight w:val="0"/>
              <w:marTop w:val="0"/>
              <w:marBottom w:val="0"/>
              <w:divBdr>
                <w:top w:val="none" w:sz="0" w:space="0" w:color="auto"/>
                <w:left w:val="none" w:sz="0" w:space="0" w:color="auto"/>
                <w:bottom w:val="none" w:sz="0" w:space="0" w:color="auto"/>
                <w:right w:val="none" w:sz="0" w:space="0" w:color="auto"/>
              </w:divBdr>
              <w:divsChild>
                <w:div w:id="79398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file:////Users/ramyakolli/Library/Group%20Containers/UBF8T346G9.ms/WebArchiveCopyPasteTempFiles/com.microsoft.Word/page3image73380864" TargetMode="External"/><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363</TotalTime>
  <Pages>13</Pages>
  <Words>3275</Words>
  <Characters>18668</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Ramya Tulasi Kolli, Ph.D.</dc:creator>
  <cp:keywords/>
  <dc:description/>
  <cp:lastModifiedBy>Ramya Tulasi Kolli, Ph.D.</cp:lastModifiedBy>
  <cp:revision>14</cp:revision>
  <dcterms:created xsi:type="dcterms:W3CDTF">2022-08-02T14:29:00Z</dcterms:created>
  <dcterms:modified xsi:type="dcterms:W3CDTF">2023-01-11T17:59:00Z</dcterms:modified>
</cp:coreProperties>
</file>